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E6B47">
      <w:pPr>
        <w:jc w:val="center"/>
        <w:rPr>
          <w:rStyle w:val="188"/>
          <w:rFonts w:hint="eastAsia"/>
          <w:color w:val="auto"/>
          <w:highlight w:val="none"/>
          <w:lang w:val="en-US" w:eastAsia="zh-CN"/>
        </w:rPr>
      </w:pPr>
      <w:bookmarkStart w:id="0" w:name="_Toc287620665"/>
    </w:p>
    <w:p w14:paraId="01A31FBD">
      <w:pPr>
        <w:jc w:val="center"/>
        <w:rPr>
          <w:rFonts w:hint="eastAsia" w:ascii="宋体" w:hAnsi="宋体" w:eastAsia="宋体"/>
          <w:b/>
          <w:color w:val="auto"/>
          <w:sz w:val="44"/>
          <w:szCs w:val="44"/>
          <w:highlight w:val="none"/>
          <w:lang w:val="en-US" w:eastAsia="zh-CN"/>
        </w:rPr>
      </w:pPr>
      <w:r>
        <w:rPr>
          <w:rFonts w:hint="eastAsia" w:ascii="宋体" w:hAnsi="宋体"/>
          <w:b/>
          <w:color w:val="auto"/>
          <w:sz w:val="44"/>
          <w:szCs w:val="44"/>
          <w:highlight w:val="none"/>
          <w:lang w:val="en-US" w:eastAsia="zh-CN"/>
        </w:rPr>
        <w:t xml:space="preserve"> </w:t>
      </w:r>
    </w:p>
    <w:p w14:paraId="61AD939B">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lang w:val="en-US" w:eastAsia="zh-CN"/>
        </w:rPr>
        <w:t>迎龙小院保安、保洁、维修服务及会议服务</w:t>
      </w:r>
      <w:r>
        <w:rPr>
          <w:rFonts w:hint="eastAsia" w:ascii="宋体" w:hAnsi="宋体"/>
          <w:color w:val="auto"/>
          <w:kern w:val="0"/>
          <w:sz w:val="32"/>
          <w:szCs w:val="32"/>
          <w:highlight w:val="none"/>
          <w:u w:val="single"/>
        </w:rPr>
        <w:t>（项目名称）</w:t>
      </w:r>
    </w:p>
    <w:p w14:paraId="6F589179">
      <w:pPr>
        <w:autoSpaceDE w:val="0"/>
        <w:autoSpaceDN w:val="0"/>
        <w:adjustRightInd w:val="0"/>
        <w:snapToGrid w:val="0"/>
        <w:spacing w:line="360" w:lineRule="auto"/>
        <w:jc w:val="left"/>
        <w:rPr>
          <w:rFonts w:ascii="宋体" w:hAnsi="宋体"/>
          <w:color w:val="auto"/>
          <w:kern w:val="0"/>
          <w:sz w:val="20"/>
          <w:szCs w:val="20"/>
          <w:highlight w:val="none"/>
        </w:rPr>
      </w:pPr>
    </w:p>
    <w:p w14:paraId="5AF34949">
      <w:pPr>
        <w:autoSpaceDE w:val="0"/>
        <w:autoSpaceDN w:val="0"/>
        <w:adjustRightInd w:val="0"/>
        <w:snapToGrid w:val="0"/>
        <w:spacing w:line="360" w:lineRule="auto"/>
        <w:jc w:val="left"/>
        <w:rPr>
          <w:rFonts w:ascii="宋体" w:hAnsi="宋体"/>
          <w:color w:val="auto"/>
          <w:kern w:val="0"/>
          <w:sz w:val="20"/>
          <w:szCs w:val="20"/>
          <w:highlight w:val="none"/>
        </w:rPr>
      </w:pPr>
    </w:p>
    <w:p w14:paraId="5BE976FB">
      <w:pPr>
        <w:autoSpaceDE w:val="0"/>
        <w:autoSpaceDN w:val="0"/>
        <w:adjustRightInd w:val="0"/>
        <w:snapToGrid w:val="0"/>
        <w:spacing w:line="360" w:lineRule="auto"/>
        <w:jc w:val="left"/>
        <w:rPr>
          <w:rFonts w:ascii="宋体" w:hAnsi="宋体"/>
          <w:color w:val="auto"/>
          <w:kern w:val="0"/>
          <w:sz w:val="20"/>
          <w:szCs w:val="20"/>
          <w:highlight w:val="none"/>
        </w:rPr>
      </w:pPr>
    </w:p>
    <w:p w14:paraId="1497A898">
      <w:pPr>
        <w:autoSpaceDE w:val="0"/>
        <w:autoSpaceDN w:val="0"/>
        <w:adjustRightInd w:val="0"/>
        <w:snapToGrid w:val="0"/>
        <w:spacing w:line="360" w:lineRule="auto"/>
        <w:jc w:val="left"/>
        <w:rPr>
          <w:rFonts w:ascii="宋体" w:hAnsi="宋体"/>
          <w:color w:val="auto"/>
          <w:kern w:val="0"/>
          <w:sz w:val="20"/>
          <w:szCs w:val="20"/>
          <w:highlight w:val="none"/>
        </w:rPr>
      </w:pPr>
    </w:p>
    <w:p w14:paraId="6CE69F96">
      <w:pPr>
        <w:autoSpaceDE w:val="0"/>
        <w:autoSpaceDN w:val="0"/>
        <w:adjustRightInd w:val="0"/>
        <w:snapToGrid w:val="0"/>
        <w:spacing w:line="360" w:lineRule="auto"/>
        <w:jc w:val="left"/>
        <w:rPr>
          <w:rFonts w:ascii="宋体" w:hAnsi="宋体"/>
          <w:color w:val="auto"/>
          <w:kern w:val="0"/>
          <w:sz w:val="20"/>
          <w:szCs w:val="20"/>
          <w:highlight w:val="none"/>
        </w:rPr>
      </w:pPr>
    </w:p>
    <w:p w14:paraId="46B140E4">
      <w:pPr>
        <w:autoSpaceDE w:val="0"/>
        <w:autoSpaceDN w:val="0"/>
        <w:adjustRightInd w:val="0"/>
        <w:snapToGrid w:val="0"/>
        <w:spacing w:line="360" w:lineRule="auto"/>
        <w:jc w:val="left"/>
        <w:rPr>
          <w:rFonts w:ascii="宋体" w:hAnsi="宋体"/>
          <w:color w:val="auto"/>
          <w:kern w:val="0"/>
          <w:sz w:val="20"/>
          <w:szCs w:val="20"/>
          <w:highlight w:val="none"/>
        </w:rPr>
      </w:pPr>
    </w:p>
    <w:p w14:paraId="270B6A77">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竞争性比选</w:t>
      </w:r>
      <w:r>
        <w:rPr>
          <w:rFonts w:ascii="宋体" w:hAnsi="宋体"/>
          <w:color w:val="auto"/>
          <w:kern w:val="0"/>
          <w:sz w:val="72"/>
          <w:szCs w:val="72"/>
          <w:highlight w:val="none"/>
        </w:rPr>
        <w:t>文件</w:t>
      </w:r>
    </w:p>
    <w:p w14:paraId="0FF48B57">
      <w:pPr>
        <w:autoSpaceDE w:val="0"/>
        <w:autoSpaceDN w:val="0"/>
        <w:adjustRightInd w:val="0"/>
        <w:snapToGrid w:val="0"/>
        <w:spacing w:line="360" w:lineRule="auto"/>
        <w:jc w:val="left"/>
        <w:rPr>
          <w:rFonts w:ascii="宋体" w:hAnsi="宋体"/>
          <w:color w:val="auto"/>
          <w:kern w:val="0"/>
          <w:sz w:val="10"/>
          <w:szCs w:val="10"/>
          <w:highlight w:val="none"/>
        </w:rPr>
      </w:pPr>
    </w:p>
    <w:p w14:paraId="4562C7B9">
      <w:pPr>
        <w:autoSpaceDE w:val="0"/>
        <w:autoSpaceDN w:val="0"/>
        <w:adjustRightInd w:val="0"/>
        <w:snapToGrid w:val="0"/>
        <w:spacing w:line="360" w:lineRule="auto"/>
        <w:jc w:val="left"/>
        <w:rPr>
          <w:rFonts w:ascii="宋体" w:hAnsi="宋体"/>
          <w:color w:val="auto"/>
          <w:kern w:val="0"/>
          <w:sz w:val="20"/>
          <w:szCs w:val="20"/>
          <w:highlight w:val="none"/>
        </w:rPr>
      </w:pPr>
    </w:p>
    <w:p w14:paraId="1CB688B1">
      <w:pPr>
        <w:autoSpaceDE w:val="0"/>
        <w:autoSpaceDN w:val="0"/>
        <w:adjustRightInd w:val="0"/>
        <w:snapToGrid w:val="0"/>
        <w:spacing w:line="360" w:lineRule="auto"/>
        <w:jc w:val="left"/>
        <w:rPr>
          <w:rFonts w:ascii="宋体" w:hAnsi="宋体"/>
          <w:color w:val="auto"/>
          <w:kern w:val="0"/>
          <w:sz w:val="20"/>
          <w:szCs w:val="20"/>
          <w:highlight w:val="none"/>
        </w:rPr>
      </w:pPr>
    </w:p>
    <w:p w14:paraId="26A532E9">
      <w:pPr>
        <w:autoSpaceDE w:val="0"/>
        <w:autoSpaceDN w:val="0"/>
        <w:adjustRightInd w:val="0"/>
        <w:snapToGrid w:val="0"/>
        <w:spacing w:line="360" w:lineRule="auto"/>
        <w:jc w:val="left"/>
        <w:rPr>
          <w:rFonts w:ascii="宋体" w:hAnsi="宋体"/>
          <w:color w:val="auto"/>
          <w:kern w:val="0"/>
          <w:sz w:val="20"/>
          <w:szCs w:val="20"/>
          <w:highlight w:val="none"/>
        </w:rPr>
      </w:pPr>
    </w:p>
    <w:p w14:paraId="1AF1C625">
      <w:pPr>
        <w:autoSpaceDE w:val="0"/>
        <w:autoSpaceDN w:val="0"/>
        <w:adjustRightInd w:val="0"/>
        <w:snapToGrid w:val="0"/>
        <w:spacing w:line="360" w:lineRule="auto"/>
        <w:jc w:val="left"/>
        <w:rPr>
          <w:rFonts w:ascii="宋体" w:hAnsi="宋体"/>
          <w:color w:val="auto"/>
          <w:kern w:val="0"/>
          <w:sz w:val="20"/>
          <w:szCs w:val="20"/>
          <w:highlight w:val="none"/>
        </w:rPr>
      </w:pPr>
    </w:p>
    <w:p w14:paraId="63AA5354">
      <w:pPr>
        <w:autoSpaceDE w:val="0"/>
        <w:autoSpaceDN w:val="0"/>
        <w:adjustRightInd w:val="0"/>
        <w:snapToGrid w:val="0"/>
        <w:spacing w:line="360" w:lineRule="auto"/>
        <w:jc w:val="left"/>
        <w:rPr>
          <w:rFonts w:ascii="宋体" w:hAnsi="宋体"/>
          <w:color w:val="auto"/>
          <w:kern w:val="0"/>
          <w:sz w:val="20"/>
          <w:szCs w:val="20"/>
          <w:highlight w:val="none"/>
        </w:rPr>
      </w:pPr>
    </w:p>
    <w:p w14:paraId="1A954B2F">
      <w:pPr>
        <w:autoSpaceDE w:val="0"/>
        <w:autoSpaceDN w:val="0"/>
        <w:adjustRightInd w:val="0"/>
        <w:snapToGrid w:val="0"/>
        <w:spacing w:line="360" w:lineRule="auto"/>
        <w:jc w:val="left"/>
        <w:rPr>
          <w:rFonts w:ascii="宋体" w:hAnsi="宋体"/>
          <w:color w:val="auto"/>
          <w:kern w:val="0"/>
          <w:sz w:val="20"/>
          <w:szCs w:val="20"/>
          <w:highlight w:val="none"/>
        </w:rPr>
      </w:pPr>
    </w:p>
    <w:p w14:paraId="7436C3B8">
      <w:pPr>
        <w:autoSpaceDE w:val="0"/>
        <w:autoSpaceDN w:val="0"/>
        <w:adjustRightInd w:val="0"/>
        <w:snapToGrid w:val="0"/>
        <w:spacing w:line="360" w:lineRule="auto"/>
        <w:jc w:val="left"/>
        <w:rPr>
          <w:rFonts w:ascii="宋体" w:hAnsi="宋体"/>
          <w:color w:val="auto"/>
          <w:kern w:val="0"/>
          <w:sz w:val="20"/>
          <w:szCs w:val="20"/>
          <w:highlight w:val="none"/>
        </w:rPr>
      </w:pPr>
    </w:p>
    <w:p w14:paraId="43C438E2">
      <w:pPr>
        <w:autoSpaceDE w:val="0"/>
        <w:autoSpaceDN w:val="0"/>
        <w:adjustRightInd w:val="0"/>
        <w:snapToGrid w:val="0"/>
        <w:spacing w:line="360" w:lineRule="auto"/>
        <w:rPr>
          <w:rFonts w:ascii="宋体" w:hAnsi="宋体"/>
          <w:color w:val="auto"/>
          <w:kern w:val="0"/>
          <w:sz w:val="20"/>
          <w:szCs w:val="20"/>
          <w:highlight w:val="none"/>
        </w:rPr>
      </w:pPr>
    </w:p>
    <w:p w14:paraId="706AFE78">
      <w:pPr>
        <w:autoSpaceDE w:val="0"/>
        <w:autoSpaceDN w:val="0"/>
        <w:adjustRightInd w:val="0"/>
        <w:snapToGrid w:val="0"/>
        <w:spacing w:line="360" w:lineRule="auto"/>
        <w:jc w:val="left"/>
        <w:rPr>
          <w:rFonts w:ascii="宋体" w:hAnsi="宋体"/>
          <w:color w:val="auto"/>
          <w:kern w:val="0"/>
          <w:sz w:val="20"/>
          <w:szCs w:val="20"/>
          <w:highlight w:val="none"/>
        </w:rPr>
      </w:pPr>
    </w:p>
    <w:p w14:paraId="0CA8B564">
      <w:pPr>
        <w:autoSpaceDE w:val="0"/>
        <w:autoSpaceDN w:val="0"/>
        <w:adjustRightInd w:val="0"/>
        <w:snapToGrid w:val="0"/>
        <w:spacing w:line="360" w:lineRule="auto"/>
        <w:rPr>
          <w:rFonts w:ascii="宋体" w:hAnsi="宋体"/>
          <w:color w:val="auto"/>
          <w:kern w:val="0"/>
          <w:sz w:val="20"/>
          <w:szCs w:val="20"/>
          <w:highlight w:val="none"/>
        </w:rPr>
      </w:pPr>
    </w:p>
    <w:p w14:paraId="04AC2A3B">
      <w:pPr>
        <w:autoSpaceDE w:val="0"/>
        <w:autoSpaceDN w:val="0"/>
        <w:adjustRightInd w:val="0"/>
        <w:snapToGrid w:val="0"/>
        <w:spacing w:line="360" w:lineRule="auto"/>
        <w:rPr>
          <w:rFonts w:ascii="宋体" w:hAnsi="宋体"/>
          <w:color w:val="auto"/>
          <w:kern w:val="0"/>
          <w:sz w:val="20"/>
          <w:szCs w:val="20"/>
          <w:highlight w:val="none"/>
        </w:rPr>
      </w:pPr>
    </w:p>
    <w:p w14:paraId="1DE72396">
      <w:pPr>
        <w:autoSpaceDE w:val="0"/>
        <w:autoSpaceDN w:val="0"/>
        <w:adjustRightInd w:val="0"/>
        <w:snapToGrid w:val="0"/>
        <w:spacing w:line="360" w:lineRule="auto"/>
        <w:rPr>
          <w:rFonts w:ascii="宋体" w:hAnsi="宋体"/>
          <w:color w:val="auto"/>
          <w:kern w:val="0"/>
          <w:sz w:val="20"/>
          <w:szCs w:val="20"/>
          <w:highlight w:val="none"/>
        </w:rPr>
      </w:pPr>
    </w:p>
    <w:p w14:paraId="527F749C">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eastAsia="宋体"/>
          <w:b/>
          <w:color w:val="auto"/>
          <w:spacing w:val="8"/>
          <w:kern w:val="0"/>
          <w:sz w:val="28"/>
          <w:szCs w:val="28"/>
          <w:highlight w:val="none"/>
          <w:lang w:val="en-US" w:eastAsia="zh-CN"/>
        </w:rPr>
        <w:t>比选</w:t>
      </w:r>
      <w:r>
        <w:rPr>
          <w:rFonts w:hint="eastAsia" w:ascii="宋体" w:hAnsi="宋体" w:eastAsia="宋体"/>
          <w:b/>
          <w:color w:val="auto"/>
          <w:spacing w:val="8"/>
          <w:kern w:val="0"/>
          <w:sz w:val="28"/>
          <w:szCs w:val="28"/>
          <w:highlight w:val="none"/>
          <w:lang w:eastAsia="zh-CN"/>
        </w:rPr>
        <w:t>人：</w:t>
      </w:r>
      <w:r>
        <w:rPr>
          <w:rFonts w:hint="eastAsia" w:ascii="宋体" w:hAnsi="宋体"/>
          <w:b/>
          <w:bCs/>
          <w:color w:val="auto"/>
          <w:kern w:val="0"/>
          <w:sz w:val="28"/>
          <w:szCs w:val="28"/>
          <w:highlight w:val="none"/>
          <w:u w:val="single"/>
          <w:lang w:val="en-US" w:eastAsia="zh-CN"/>
        </w:rPr>
        <w:t>重庆广阳岛生态城实业有限公司</w:t>
      </w:r>
      <w:r>
        <w:rPr>
          <w:rFonts w:ascii="宋体" w:hAnsi="宋体"/>
          <w:b/>
          <w:color w:val="auto"/>
          <w:w w:val="99"/>
          <w:kern w:val="0"/>
          <w:sz w:val="28"/>
          <w:szCs w:val="28"/>
          <w:highlight w:val="none"/>
        </w:rPr>
        <w:t>（</w:t>
      </w:r>
      <w:r>
        <w:rPr>
          <w:rFonts w:ascii="宋体" w:hAnsi="宋体" w:eastAsia="宋体"/>
          <w:b/>
          <w:color w:val="auto"/>
          <w:w w:val="99"/>
          <w:kern w:val="0"/>
          <w:sz w:val="28"/>
          <w:szCs w:val="28"/>
          <w:highlight w:val="none"/>
        </w:rPr>
        <w:t>盖单位法人章）</w:t>
      </w:r>
    </w:p>
    <w:p w14:paraId="312BE281">
      <w:pPr>
        <w:tabs>
          <w:tab w:val="left" w:pos="6252"/>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lang w:eastAsia="zh-CN"/>
        </w:rPr>
        <w:t>比选代理机构</w:t>
      </w:r>
      <w:r>
        <w:rPr>
          <w:rFonts w:ascii="宋体" w:hAnsi="宋体"/>
          <w:b/>
          <w:color w:val="auto"/>
          <w:spacing w:val="8"/>
          <w:kern w:val="0"/>
          <w:sz w:val="28"/>
          <w:szCs w:val="28"/>
          <w:highlight w:val="none"/>
        </w:rPr>
        <w:t>：</w:t>
      </w:r>
      <w:r>
        <w:rPr>
          <w:rFonts w:hint="eastAsia" w:ascii="宋体" w:hAnsi="宋体"/>
          <w:b/>
          <w:bCs/>
          <w:color w:val="auto"/>
          <w:kern w:val="0"/>
          <w:sz w:val="28"/>
          <w:szCs w:val="28"/>
          <w:highlight w:val="none"/>
          <w:u w:val="single"/>
          <w:lang w:val="en-US" w:eastAsia="zh-CN"/>
        </w:rPr>
        <w:t>天之瓴建设股份有限公司</w:t>
      </w:r>
      <w:r>
        <w:rPr>
          <w:rFonts w:ascii="宋体" w:hAnsi="宋体"/>
          <w:b/>
          <w:color w:val="auto"/>
          <w:w w:val="99"/>
          <w:kern w:val="0"/>
          <w:sz w:val="28"/>
          <w:szCs w:val="28"/>
          <w:highlight w:val="none"/>
        </w:rPr>
        <w:t>（盖单位法人章）</w:t>
      </w:r>
    </w:p>
    <w:p w14:paraId="5FC907C3">
      <w:pPr>
        <w:autoSpaceDE w:val="0"/>
        <w:autoSpaceDN w:val="0"/>
        <w:adjustRightInd w:val="0"/>
        <w:snapToGrid w:val="0"/>
        <w:spacing w:line="360" w:lineRule="auto"/>
        <w:jc w:val="center"/>
        <w:rPr>
          <w:rFonts w:ascii="宋体" w:hAnsi="宋体"/>
          <w:b/>
          <w:color w:val="auto"/>
          <w:kern w:val="0"/>
          <w:sz w:val="20"/>
          <w:szCs w:val="20"/>
          <w:highlight w:val="none"/>
        </w:rPr>
      </w:pPr>
    </w:p>
    <w:p w14:paraId="3C1610AB">
      <w:pPr>
        <w:autoSpaceDE w:val="0"/>
        <w:autoSpaceDN w:val="0"/>
        <w:adjustRightInd w:val="0"/>
        <w:snapToGrid w:val="0"/>
        <w:spacing w:line="360" w:lineRule="auto"/>
        <w:jc w:val="center"/>
        <w:rPr>
          <w:rFonts w:ascii="宋体" w:hAnsi="宋体"/>
          <w:b/>
          <w:color w:val="auto"/>
          <w:kern w:val="0"/>
          <w:sz w:val="28"/>
          <w:szCs w:val="28"/>
          <w:highlight w:val="none"/>
        </w:rPr>
      </w:pPr>
    </w:p>
    <w:p w14:paraId="6D97B46F">
      <w:pPr>
        <w:autoSpaceDE w:val="0"/>
        <w:autoSpaceDN w:val="0"/>
        <w:adjustRightInd w:val="0"/>
        <w:snapToGrid w:val="0"/>
        <w:spacing w:line="360" w:lineRule="auto"/>
        <w:jc w:val="center"/>
        <w:rPr>
          <w:rFonts w:ascii="宋体" w:hAnsi="宋体"/>
          <w:b/>
          <w:color w:val="auto"/>
          <w:kern w:val="0"/>
          <w:sz w:val="28"/>
          <w:szCs w:val="28"/>
          <w:highlight w:val="none"/>
        </w:rPr>
      </w:pPr>
    </w:p>
    <w:p w14:paraId="3F9A0A62">
      <w:pPr>
        <w:autoSpaceDE w:val="0"/>
        <w:autoSpaceDN w:val="0"/>
        <w:adjustRightInd w:val="0"/>
        <w:snapToGrid w:val="0"/>
        <w:spacing w:line="360" w:lineRule="auto"/>
        <w:rPr>
          <w:rFonts w:ascii="宋体" w:hAnsi="宋体"/>
          <w:b/>
          <w:color w:val="auto"/>
          <w:kern w:val="0"/>
          <w:sz w:val="20"/>
          <w:szCs w:val="20"/>
          <w:highlight w:val="none"/>
        </w:rPr>
      </w:pPr>
    </w:p>
    <w:p w14:paraId="0B9D5877">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621766"/>
      <w:bookmarkStart w:id="2" w:name="_Toc536797277"/>
      <w:bookmarkStart w:id="3" w:name="_Toc13210649"/>
      <w:bookmarkStart w:id="4" w:name="_Toc536796736"/>
      <w:bookmarkStart w:id="5" w:name="_Toc509218549"/>
      <w:r>
        <w:rPr>
          <w:rFonts w:hint="eastAsia" w:ascii="宋体" w:hAnsi="宋体"/>
          <w:b/>
          <w:color w:val="auto"/>
          <w:spacing w:val="8"/>
          <w:kern w:val="0"/>
          <w:sz w:val="28"/>
          <w:szCs w:val="28"/>
          <w:highlight w:val="none"/>
          <w:u w:val="single"/>
          <w:lang w:val="en-US" w:eastAsia="zh-CN"/>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3</w:t>
      </w:r>
      <w:r>
        <w:rPr>
          <w:rFonts w:ascii="宋体" w:hAnsi="宋体"/>
          <w:b/>
          <w:color w:val="auto"/>
          <w:spacing w:val="8"/>
          <w:kern w:val="0"/>
          <w:sz w:val="28"/>
          <w:szCs w:val="28"/>
          <w:highlight w:val="none"/>
        </w:rPr>
        <w:t>月</w:t>
      </w:r>
      <w:bookmarkEnd w:id="1"/>
      <w:bookmarkEnd w:id="2"/>
      <w:bookmarkEnd w:id="3"/>
      <w:bookmarkEnd w:id="4"/>
      <w:bookmarkEnd w:id="5"/>
    </w:p>
    <w:p w14:paraId="0BB27727">
      <w:pPr>
        <w:pStyle w:val="4"/>
        <w:spacing w:line="360" w:lineRule="auto"/>
        <w:jc w:val="center"/>
        <w:rPr>
          <w:rFonts w:ascii="宋体" w:hAnsi="宋体"/>
          <w:color w:val="auto"/>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14:paraId="69F0BFAE">
      <w:pPr>
        <w:pStyle w:val="122"/>
        <w:jc w:val="center"/>
        <w:rPr>
          <w:rFonts w:ascii="宋体" w:hAnsi="宋体"/>
          <w:color w:val="auto"/>
          <w:sz w:val="44"/>
          <w:szCs w:val="44"/>
          <w:highlight w:val="none"/>
        </w:rPr>
      </w:pPr>
      <w:bookmarkStart w:id="6" w:name="_Toc5767"/>
      <w:bookmarkStart w:id="7"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14:paraId="54F3240E">
      <w:pPr>
        <w:pStyle w:val="33"/>
        <w:tabs>
          <w:tab w:val="right" w:leader="dot" w:pos="9469"/>
        </w:tabs>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"1-3" \h \z \u </w:instrText>
      </w:r>
      <w:r>
        <w:rPr>
          <w:rFonts w:ascii="宋体" w:hAnsi="宋体"/>
          <w:color w:val="auto"/>
          <w:sz w:val="28"/>
          <w:szCs w:val="28"/>
          <w:highlight w:val="none"/>
        </w:rPr>
        <w:fldChar w:fldCharType="separate"/>
      </w:r>
    </w:p>
    <w:p w14:paraId="752E0F4D">
      <w:pPr>
        <w:pStyle w:val="33"/>
        <w:tabs>
          <w:tab w:val="right" w:leader="dot" w:pos="9469"/>
        </w:tabs>
        <w:spacing w:line="360" w:lineRule="auto"/>
        <w:rPr>
          <w:color w:val="auto"/>
          <w:sz w:val="32"/>
          <w:szCs w:val="32"/>
          <w:highlight w:val="none"/>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_Toc28121 </w:instrText>
      </w:r>
      <w:r>
        <w:rPr>
          <w:rFonts w:ascii="宋体" w:hAnsi="宋体"/>
          <w:bCs/>
          <w:color w:val="auto"/>
          <w:sz w:val="32"/>
          <w:szCs w:val="32"/>
          <w:highlight w:val="none"/>
          <w:lang w:val="zh-CN"/>
        </w:rPr>
        <w:fldChar w:fldCharType="separate"/>
      </w:r>
      <w:r>
        <w:rPr>
          <w:rFonts w:ascii="宋体" w:hAnsi="宋体"/>
          <w:snapToGrid w:val="0"/>
          <w:color w:val="auto"/>
          <w:kern w:val="0"/>
          <w:sz w:val="32"/>
          <w:szCs w:val="32"/>
          <w:highlight w:val="none"/>
        </w:rPr>
        <w:t xml:space="preserve">第一章  </w:t>
      </w:r>
      <w:r>
        <w:rPr>
          <w:rFonts w:hint="eastAsia" w:ascii="宋体" w:hAnsi="宋体"/>
          <w:snapToGrid w:val="0"/>
          <w:color w:val="auto"/>
          <w:kern w:val="0"/>
          <w:sz w:val="32"/>
          <w:szCs w:val="32"/>
          <w:highlight w:val="none"/>
          <w:lang w:eastAsia="zh-CN"/>
        </w:rPr>
        <w:t>比选公告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_Toc28121 \h </w:instrText>
      </w:r>
      <w:r>
        <w:rPr>
          <w:color w:val="auto"/>
          <w:sz w:val="32"/>
          <w:szCs w:val="32"/>
          <w:highlight w:val="none"/>
        </w:rPr>
        <w:fldChar w:fldCharType="separate"/>
      </w:r>
      <w:r>
        <w:rPr>
          <w:color w:val="auto"/>
          <w:sz w:val="32"/>
          <w:szCs w:val="32"/>
          <w:highlight w:val="none"/>
        </w:rPr>
        <w:t>3</w:t>
      </w:r>
      <w:r>
        <w:rPr>
          <w:color w:val="auto"/>
          <w:sz w:val="32"/>
          <w:szCs w:val="32"/>
          <w:highlight w:val="none"/>
        </w:rPr>
        <w:fldChar w:fldCharType="end"/>
      </w:r>
      <w:r>
        <w:rPr>
          <w:rFonts w:ascii="宋体" w:hAnsi="宋体"/>
          <w:bCs/>
          <w:color w:val="auto"/>
          <w:sz w:val="32"/>
          <w:szCs w:val="32"/>
          <w:highlight w:val="none"/>
          <w:lang w:val="zh-CN"/>
        </w:rPr>
        <w:fldChar w:fldCharType="end"/>
      </w:r>
    </w:p>
    <w:p w14:paraId="15A3D514">
      <w:pPr>
        <w:pStyle w:val="33"/>
        <w:tabs>
          <w:tab w:val="right" w:leader="dot" w:pos="9469"/>
        </w:tabs>
        <w:spacing w:line="360" w:lineRule="auto"/>
        <w:rPr>
          <w:color w:val="auto"/>
          <w:sz w:val="32"/>
          <w:szCs w:val="32"/>
          <w:highlight w:val="none"/>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_Toc28579 </w:instrText>
      </w:r>
      <w:r>
        <w:rPr>
          <w:rFonts w:ascii="宋体" w:hAnsi="宋体"/>
          <w:bCs/>
          <w:color w:val="auto"/>
          <w:sz w:val="32"/>
          <w:szCs w:val="32"/>
          <w:highlight w:val="none"/>
          <w:lang w:val="zh-CN"/>
        </w:rPr>
        <w:fldChar w:fldCharType="separate"/>
      </w:r>
      <w:r>
        <w:rPr>
          <w:rFonts w:ascii="宋体" w:hAnsi="宋体"/>
          <w:snapToGrid w:val="0"/>
          <w:color w:val="auto"/>
          <w:kern w:val="0"/>
          <w:sz w:val="32"/>
          <w:szCs w:val="32"/>
          <w:highlight w:val="none"/>
        </w:rPr>
        <w:t xml:space="preserve">第二章  </w:t>
      </w:r>
      <w:r>
        <w:rPr>
          <w:rFonts w:hint="eastAsia" w:ascii="宋体" w:hAnsi="宋体"/>
          <w:snapToGrid w:val="0"/>
          <w:color w:val="auto"/>
          <w:kern w:val="0"/>
          <w:sz w:val="32"/>
          <w:szCs w:val="32"/>
          <w:highlight w:val="none"/>
          <w:lang w:eastAsia="zh-CN"/>
        </w:rPr>
        <w:t>竞选人</w:t>
      </w:r>
      <w:r>
        <w:rPr>
          <w:rFonts w:ascii="宋体" w:hAnsi="宋体"/>
          <w:snapToGrid w:val="0"/>
          <w:color w:val="auto"/>
          <w:kern w:val="0"/>
          <w:sz w:val="32"/>
          <w:szCs w:val="32"/>
          <w:highlight w:val="none"/>
        </w:rPr>
        <w:t>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_Toc28579 \h </w:instrText>
      </w:r>
      <w:r>
        <w:rPr>
          <w:color w:val="auto"/>
          <w:sz w:val="32"/>
          <w:szCs w:val="32"/>
          <w:highlight w:val="none"/>
        </w:rPr>
        <w:fldChar w:fldCharType="separate"/>
      </w:r>
      <w:r>
        <w:rPr>
          <w:color w:val="auto"/>
          <w:sz w:val="32"/>
          <w:szCs w:val="32"/>
          <w:highlight w:val="none"/>
        </w:rPr>
        <w:t>5</w:t>
      </w:r>
      <w:r>
        <w:rPr>
          <w:color w:val="auto"/>
          <w:sz w:val="32"/>
          <w:szCs w:val="32"/>
          <w:highlight w:val="none"/>
        </w:rPr>
        <w:fldChar w:fldCharType="end"/>
      </w:r>
      <w:r>
        <w:rPr>
          <w:rFonts w:ascii="宋体" w:hAnsi="宋体"/>
          <w:bCs/>
          <w:color w:val="auto"/>
          <w:sz w:val="32"/>
          <w:szCs w:val="32"/>
          <w:highlight w:val="none"/>
          <w:lang w:val="zh-CN"/>
        </w:rPr>
        <w:fldChar w:fldCharType="end"/>
      </w:r>
    </w:p>
    <w:p w14:paraId="398DE2FD">
      <w:pPr>
        <w:pStyle w:val="33"/>
        <w:tabs>
          <w:tab w:val="right" w:leader="dot" w:pos="9469"/>
        </w:tabs>
        <w:spacing w:line="360" w:lineRule="auto"/>
        <w:rPr>
          <w:color w:val="auto"/>
          <w:sz w:val="32"/>
          <w:szCs w:val="32"/>
          <w:highlight w:val="none"/>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_Toc22226 </w:instrText>
      </w:r>
      <w:r>
        <w:rPr>
          <w:rFonts w:ascii="宋体" w:hAnsi="宋体"/>
          <w:bCs/>
          <w:color w:val="auto"/>
          <w:sz w:val="32"/>
          <w:szCs w:val="32"/>
          <w:highlight w:val="none"/>
          <w:lang w:val="zh-CN"/>
        </w:rPr>
        <w:fldChar w:fldCharType="separate"/>
      </w:r>
      <w:r>
        <w:rPr>
          <w:rFonts w:ascii="宋体" w:hAnsi="宋体" w:eastAsia="宋体" w:cs="Times New Roman"/>
          <w:bCs/>
          <w:color w:val="auto"/>
          <w:kern w:val="44"/>
          <w:sz w:val="32"/>
          <w:szCs w:val="72"/>
          <w:highlight w:val="none"/>
          <w:lang w:val="en-US" w:eastAsia="zh-CN" w:bidi="ar-SA"/>
        </w:rPr>
        <w:t xml:space="preserve">第三章 </w:t>
      </w:r>
      <w:r>
        <w:rPr>
          <w:rFonts w:hint="eastAsia" w:ascii="宋体" w:hAnsi="宋体" w:eastAsia="宋体" w:cs="Times New Roman"/>
          <w:bCs/>
          <w:color w:val="auto"/>
          <w:kern w:val="44"/>
          <w:sz w:val="32"/>
          <w:szCs w:val="72"/>
          <w:highlight w:val="none"/>
          <w:lang w:val="en-US" w:eastAsia="zh-CN" w:bidi="ar-SA"/>
        </w:rPr>
        <w:t xml:space="preserve"> </w:t>
      </w:r>
      <w:r>
        <w:rPr>
          <w:rFonts w:ascii="宋体" w:hAnsi="宋体" w:eastAsia="宋体" w:cs="Times New Roman"/>
          <w:bCs/>
          <w:color w:val="auto"/>
          <w:kern w:val="44"/>
          <w:sz w:val="32"/>
          <w:szCs w:val="72"/>
          <w:highlight w:val="none"/>
          <w:lang w:val="en-US" w:eastAsia="zh-CN" w:bidi="ar-SA"/>
        </w:rPr>
        <w:t>评标办法（综合评估法）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_Toc22226 \h </w:instrText>
      </w:r>
      <w:r>
        <w:rPr>
          <w:color w:val="auto"/>
          <w:sz w:val="32"/>
          <w:szCs w:val="32"/>
          <w:highlight w:val="none"/>
        </w:rPr>
        <w:fldChar w:fldCharType="separate"/>
      </w:r>
      <w:r>
        <w:rPr>
          <w:color w:val="auto"/>
          <w:sz w:val="32"/>
          <w:szCs w:val="32"/>
          <w:highlight w:val="none"/>
        </w:rPr>
        <w:t>22</w:t>
      </w:r>
      <w:r>
        <w:rPr>
          <w:color w:val="auto"/>
          <w:sz w:val="32"/>
          <w:szCs w:val="32"/>
          <w:highlight w:val="none"/>
        </w:rPr>
        <w:fldChar w:fldCharType="end"/>
      </w:r>
      <w:r>
        <w:rPr>
          <w:rFonts w:ascii="宋体" w:hAnsi="宋体"/>
          <w:bCs/>
          <w:color w:val="auto"/>
          <w:sz w:val="32"/>
          <w:szCs w:val="32"/>
          <w:highlight w:val="none"/>
          <w:lang w:val="zh-CN"/>
        </w:rPr>
        <w:fldChar w:fldCharType="end"/>
      </w:r>
    </w:p>
    <w:p w14:paraId="38364FD8">
      <w:pPr>
        <w:pStyle w:val="33"/>
        <w:tabs>
          <w:tab w:val="right" w:leader="dot" w:pos="9469"/>
        </w:tabs>
        <w:spacing w:line="360" w:lineRule="auto"/>
        <w:rPr>
          <w:color w:val="auto"/>
          <w:sz w:val="32"/>
          <w:szCs w:val="32"/>
          <w:highlight w:val="none"/>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_Toc16777 </w:instrText>
      </w:r>
      <w:r>
        <w:rPr>
          <w:rFonts w:ascii="宋体" w:hAnsi="宋体"/>
          <w:bCs/>
          <w:color w:val="auto"/>
          <w:sz w:val="32"/>
          <w:szCs w:val="32"/>
          <w:highlight w:val="none"/>
          <w:lang w:val="zh-CN"/>
        </w:rPr>
        <w:fldChar w:fldCharType="separate"/>
      </w:r>
      <w:r>
        <w:rPr>
          <w:rFonts w:hint="eastAsia" w:ascii="宋体" w:hAnsi="宋体"/>
          <w:color w:val="auto"/>
          <w:kern w:val="0"/>
          <w:sz w:val="32"/>
          <w:szCs w:val="32"/>
          <w:highlight w:val="none"/>
        </w:rPr>
        <w:t>第四章  合同条款及格式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_Toc16777 \h </w:instrText>
      </w:r>
      <w:r>
        <w:rPr>
          <w:color w:val="auto"/>
          <w:sz w:val="32"/>
          <w:szCs w:val="32"/>
          <w:highlight w:val="none"/>
        </w:rPr>
        <w:fldChar w:fldCharType="separate"/>
      </w:r>
      <w:r>
        <w:rPr>
          <w:color w:val="auto"/>
          <w:sz w:val="32"/>
          <w:szCs w:val="32"/>
          <w:highlight w:val="none"/>
        </w:rPr>
        <w:t>31</w:t>
      </w:r>
      <w:r>
        <w:rPr>
          <w:color w:val="auto"/>
          <w:sz w:val="32"/>
          <w:szCs w:val="32"/>
          <w:highlight w:val="none"/>
        </w:rPr>
        <w:fldChar w:fldCharType="end"/>
      </w:r>
      <w:r>
        <w:rPr>
          <w:rFonts w:ascii="宋体" w:hAnsi="宋体"/>
          <w:bCs/>
          <w:color w:val="auto"/>
          <w:sz w:val="32"/>
          <w:szCs w:val="32"/>
          <w:highlight w:val="none"/>
          <w:lang w:val="zh-CN"/>
        </w:rPr>
        <w:fldChar w:fldCharType="end"/>
      </w:r>
    </w:p>
    <w:p w14:paraId="54EAF602">
      <w:pPr>
        <w:pStyle w:val="33"/>
        <w:tabs>
          <w:tab w:val="right" w:leader="dot" w:pos="9469"/>
        </w:tabs>
        <w:spacing w:line="360" w:lineRule="auto"/>
        <w:rPr>
          <w:color w:val="auto"/>
          <w:sz w:val="32"/>
          <w:szCs w:val="32"/>
          <w:highlight w:val="none"/>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_Toc16451 </w:instrText>
      </w:r>
      <w:r>
        <w:rPr>
          <w:rFonts w:ascii="宋体" w:hAnsi="宋体"/>
          <w:bCs/>
          <w:color w:val="auto"/>
          <w:sz w:val="32"/>
          <w:szCs w:val="32"/>
          <w:highlight w:val="none"/>
          <w:lang w:val="zh-CN"/>
        </w:rPr>
        <w:fldChar w:fldCharType="separate"/>
      </w:r>
      <w:r>
        <w:rPr>
          <w:rFonts w:ascii="宋体" w:hAnsi="宋体"/>
          <w:color w:val="auto"/>
          <w:sz w:val="32"/>
          <w:szCs w:val="32"/>
          <w:highlight w:val="none"/>
        </w:rPr>
        <w:t>第</w:t>
      </w:r>
      <w:r>
        <w:rPr>
          <w:rFonts w:hint="eastAsia" w:ascii="宋体" w:hAnsi="宋体"/>
          <w:color w:val="auto"/>
          <w:sz w:val="32"/>
          <w:szCs w:val="32"/>
          <w:highlight w:val="none"/>
          <w:lang w:val="en-US" w:eastAsia="zh-CN"/>
        </w:rPr>
        <w:t>五</w:t>
      </w:r>
      <w:r>
        <w:rPr>
          <w:rFonts w:ascii="宋体" w:hAnsi="宋体"/>
          <w:color w:val="auto"/>
          <w:sz w:val="32"/>
          <w:szCs w:val="32"/>
          <w:highlight w:val="none"/>
        </w:rPr>
        <w:t>章</w:t>
      </w:r>
      <w:r>
        <w:rPr>
          <w:rFonts w:hint="eastAsia" w:ascii="宋体" w:hAnsi="宋体"/>
          <w:color w:val="auto"/>
          <w:sz w:val="32"/>
          <w:szCs w:val="32"/>
          <w:highlight w:val="none"/>
        </w:rPr>
        <w:t xml:space="preserve">  </w:t>
      </w:r>
      <w:r>
        <w:rPr>
          <w:rFonts w:ascii="宋体" w:hAnsi="宋体"/>
          <w:color w:val="auto"/>
          <w:sz w:val="32"/>
          <w:szCs w:val="32"/>
          <w:highlight w:val="none"/>
        </w:rPr>
        <w:t>技术标准和要求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_Toc16451 \h </w:instrText>
      </w:r>
      <w:r>
        <w:rPr>
          <w:color w:val="auto"/>
          <w:sz w:val="32"/>
          <w:szCs w:val="32"/>
          <w:highlight w:val="none"/>
        </w:rPr>
        <w:fldChar w:fldCharType="separate"/>
      </w:r>
      <w:r>
        <w:rPr>
          <w:color w:val="auto"/>
          <w:sz w:val="32"/>
          <w:szCs w:val="32"/>
          <w:highlight w:val="none"/>
        </w:rPr>
        <w:t>46</w:t>
      </w:r>
      <w:r>
        <w:rPr>
          <w:color w:val="auto"/>
          <w:sz w:val="32"/>
          <w:szCs w:val="32"/>
          <w:highlight w:val="none"/>
        </w:rPr>
        <w:fldChar w:fldCharType="end"/>
      </w:r>
      <w:r>
        <w:rPr>
          <w:rFonts w:ascii="宋体" w:hAnsi="宋体"/>
          <w:bCs/>
          <w:color w:val="auto"/>
          <w:sz w:val="32"/>
          <w:szCs w:val="32"/>
          <w:highlight w:val="none"/>
          <w:lang w:val="zh-CN"/>
        </w:rPr>
        <w:fldChar w:fldCharType="end"/>
      </w:r>
    </w:p>
    <w:p w14:paraId="7FAEF78C">
      <w:pPr>
        <w:pStyle w:val="33"/>
        <w:tabs>
          <w:tab w:val="right" w:leader="dot" w:pos="9469"/>
        </w:tabs>
        <w:spacing w:line="360" w:lineRule="auto"/>
        <w:rPr>
          <w:color w:val="auto"/>
          <w:sz w:val="32"/>
          <w:szCs w:val="32"/>
          <w:highlight w:val="none"/>
        </w:rPr>
      </w:pPr>
      <w:r>
        <w:rPr>
          <w:rFonts w:ascii="宋体" w:hAnsi="宋体"/>
          <w:bCs/>
          <w:color w:val="auto"/>
          <w:sz w:val="32"/>
          <w:szCs w:val="32"/>
          <w:highlight w:val="none"/>
          <w:lang w:val="zh-CN"/>
        </w:rPr>
        <w:fldChar w:fldCharType="begin"/>
      </w:r>
      <w:r>
        <w:rPr>
          <w:rFonts w:ascii="宋体" w:hAnsi="宋体"/>
          <w:bCs/>
          <w:color w:val="auto"/>
          <w:sz w:val="32"/>
          <w:szCs w:val="32"/>
          <w:highlight w:val="none"/>
          <w:lang w:val="zh-CN"/>
        </w:rPr>
        <w:instrText xml:space="preserve"> HYPERLINK \l _Toc4333 </w:instrText>
      </w:r>
      <w:r>
        <w:rPr>
          <w:rFonts w:ascii="宋体" w:hAnsi="宋体"/>
          <w:bCs/>
          <w:color w:val="auto"/>
          <w:sz w:val="32"/>
          <w:szCs w:val="32"/>
          <w:highlight w:val="none"/>
          <w:lang w:val="zh-CN"/>
        </w:rPr>
        <w:fldChar w:fldCharType="separate"/>
      </w:r>
      <w:r>
        <w:rPr>
          <w:rFonts w:hint="eastAsia" w:ascii="宋体" w:hAnsi="宋体"/>
          <w:color w:val="auto"/>
          <w:sz w:val="32"/>
          <w:szCs w:val="32"/>
          <w:highlight w:val="none"/>
        </w:rPr>
        <w:t>第</w:t>
      </w:r>
      <w:r>
        <w:rPr>
          <w:rFonts w:hint="eastAsia" w:ascii="宋体" w:hAnsi="宋体"/>
          <w:color w:val="auto"/>
          <w:sz w:val="32"/>
          <w:szCs w:val="32"/>
          <w:highlight w:val="none"/>
          <w:lang w:val="en-US" w:eastAsia="zh-CN"/>
        </w:rPr>
        <w:t>六</w:t>
      </w:r>
      <w:r>
        <w:rPr>
          <w:rFonts w:hint="eastAsia" w:ascii="宋体" w:hAnsi="宋体"/>
          <w:color w:val="auto"/>
          <w:sz w:val="32"/>
          <w:szCs w:val="32"/>
          <w:highlight w:val="none"/>
        </w:rPr>
        <w:t xml:space="preserve">章  </w:t>
      </w:r>
      <w:r>
        <w:rPr>
          <w:rFonts w:hint="eastAsia" w:ascii="宋体" w:hAnsi="宋体"/>
          <w:color w:val="auto"/>
          <w:sz w:val="32"/>
          <w:szCs w:val="32"/>
          <w:highlight w:val="none"/>
          <w:lang w:eastAsia="zh-CN"/>
        </w:rPr>
        <w:t>竞选文件</w:t>
      </w:r>
      <w:r>
        <w:rPr>
          <w:rFonts w:hint="eastAsia" w:ascii="宋体" w:hAnsi="宋体"/>
          <w:color w:val="auto"/>
          <w:sz w:val="32"/>
          <w:szCs w:val="32"/>
          <w:highlight w:val="none"/>
        </w:rPr>
        <w:t>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_Toc4333 \h </w:instrText>
      </w:r>
      <w:r>
        <w:rPr>
          <w:color w:val="auto"/>
          <w:sz w:val="32"/>
          <w:szCs w:val="32"/>
          <w:highlight w:val="none"/>
        </w:rPr>
        <w:fldChar w:fldCharType="separate"/>
      </w:r>
      <w:r>
        <w:rPr>
          <w:color w:val="auto"/>
          <w:sz w:val="32"/>
          <w:szCs w:val="32"/>
          <w:highlight w:val="none"/>
        </w:rPr>
        <w:t>47</w:t>
      </w:r>
      <w:r>
        <w:rPr>
          <w:color w:val="auto"/>
          <w:sz w:val="32"/>
          <w:szCs w:val="32"/>
          <w:highlight w:val="none"/>
        </w:rPr>
        <w:fldChar w:fldCharType="end"/>
      </w:r>
      <w:r>
        <w:rPr>
          <w:rFonts w:ascii="宋体" w:hAnsi="宋体"/>
          <w:bCs/>
          <w:color w:val="auto"/>
          <w:sz w:val="32"/>
          <w:szCs w:val="32"/>
          <w:highlight w:val="none"/>
          <w:lang w:val="zh-CN"/>
        </w:rPr>
        <w:fldChar w:fldCharType="end"/>
      </w:r>
    </w:p>
    <w:p w14:paraId="527CAD6B">
      <w:pPr>
        <w:rPr>
          <w:rFonts w:ascii="宋体" w:hAnsi="宋体"/>
          <w:color w:val="auto"/>
          <w:sz w:val="32"/>
          <w:szCs w:val="40"/>
          <w:highlight w:val="none"/>
        </w:rPr>
      </w:pPr>
      <w:r>
        <w:rPr>
          <w:rFonts w:ascii="宋体" w:hAnsi="宋体"/>
          <w:bCs/>
          <w:color w:val="auto"/>
          <w:sz w:val="32"/>
          <w:szCs w:val="28"/>
          <w:highlight w:val="none"/>
          <w:lang w:val="zh-CN"/>
        </w:rPr>
        <w:fldChar w:fldCharType="end"/>
      </w:r>
    </w:p>
    <w:bookmarkEnd w:id="0"/>
    <w:p w14:paraId="1BC90404">
      <w:pPr>
        <w:spacing w:line="20" w:lineRule="exact"/>
        <w:rPr>
          <w:rFonts w:ascii="宋体" w:hAnsi="宋体"/>
          <w:color w:val="auto"/>
          <w:highlight w:val="none"/>
        </w:rPr>
      </w:pPr>
      <w:bookmarkStart w:id="8" w:name="_Toc430530414"/>
    </w:p>
    <w:p w14:paraId="18760B21">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8"/>
    <w:p w14:paraId="6F52CE6E">
      <w:pPr>
        <w:spacing w:line="360" w:lineRule="auto"/>
        <w:rPr>
          <w:rFonts w:ascii="宋体" w:hAnsi="宋体"/>
          <w:color w:val="auto"/>
          <w:highlight w:val="none"/>
        </w:rPr>
      </w:pPr>
    </w:p>
    <w:p w14:paraId="4B4513B2">
      <w:pPr>
        <w:pStyle w:val="4"/>
        <w:spacing w:before="0" w:after="0" w:line="480" w:lineRule="auto"/>
        <w:jc w:val="center"/>
        <w:rPr>
          <w:rFonts w:ascii="宋体" w:hAnsi="宋体"/>
          <w:color w:val="auto"/>
          <w:sz w:val="52"/>
          <w:szCs w:val="52"/>
          <w:highlight w:val="none"/>
        </w:rPr>
      </w:pPr>
      <w:bookmarkStart w:id="9" w:name="_Toc509218690"/>
      <w:bookmarkStart w:id="10" w:name="_Toc9936"/>
      <w:bookmarkStart w:id="11" w:name="_Toc22739"/>
      <w:bookmarkStart w:id="12" w:name="_Toc23956"/>
      <w:r>
        <w:rPr>
          <w:rFonts w:hint="eastAsia" w:ascii="宋体" w:hAnsi="宋体"/>
          <w:color w:val="auto"/>
          <w:sz w:val="52"/>
          <w:szCs w:val="52"/>
          <w:highlight w:val="none"/>
        </w:rPr>
        <w:t>第 一 卷</w:t>
      </w:r>
      <w:bookmarkEnd w:id="9"/>
      <w:bookmarkEnd w:id="10"/>
      <w:bookmarkEnd w:id="11"/>
      <w:bookmarkEnd w:id="12"/>
    </w:p>
    <w:p w14:paraId="6E21FC69">
      <w:pPr>
        <w:spacing w:line="200" w:lineRule="exact"/>
        <w:rPr>
          <w:rFonts w:ascii="宋体" w:hAnsi="宋体"/>
          <w:color w:val="auto"/>
          <w:highlight w:val="none"/>
        </w:rPr>
      </w:pPr>
      <w:r>
        <w:rPr>
          <w:rFonts w:ascii="宋体" w:hAnsi="宋体"/>
          <w:color w:val="auto"/>
          <w:highlight w:val="none"/>
        </w:rPr>
        <w:br w:type="page"/>
      </w:r>
    </w:p>
    <w:p w14:paraId="77882602">
      <w:pPr>
        <w:pStyle w:val="4"/>
        <w:spacing w:line="360" w:lineRule="auto"/>
        <w:jc w:val="center"/>
        <w:rPr>
          <w:rFonts w:ascii="宋体" w:hAnsi="宋体"/>
          <w:snapToGrid w:val="0"/>
          <w:color w:val="auto"/>
          <w:kern w:val="0"/>
          <w:highlight w:val="none"/>
        </w:rPr>
      </w:pPr>
      <w:bookmarkStart w:id="13" w:name="_Toc12819"/>
      <w:bookmarkStart w:id="14" w:name="_Toc287620666"/>
      <w:bookmarkStart w:id="15" w:name="_Toc287607727"/>
      <w:bookmarkStart w:id="16" w:name="_Toc28121"/>
      <w:bookmarkStart w:id="17" w:name="_Toc224103298"/>
      <w:bookmarkStart w:id="18" w:name="_Toc277082535"/>
      <w:bookmarkStart w:id="19" w:name="_Toc509218691"/>
      <w:bookmarkStart w:id="20" w:name="_Toc430530415"/>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比选公告</w:t>
      </w:r>
      <w:bookmarkEnd w:id="13"/>
      <w:bookmarkEnd w:id="14"/>
      <w:bookmarkEnd w:id="15"/>
      <w:bookmarkEnd w:id="16"/>
      <w:bookmarkEnd w:id="17"/>
      <w:bookmarkEnd w:id="18"/>
      <w:bookmarkEnd w:id="19"/>
      <w:bookmarkEnd w:id="20"/>
    </w:p>
    <w:p w14:paraId="5833B958">
      <w:pPr>
        <w:autoSpaceDE w:val="0"/>
        <w:autoSpaceDN w:val="0"/>
        <w:adjustRightInd w:val="0"/>
        <w:snapToGrid w:val="0"/>
        <w:spacing w:line="360" w:lineRule="auto"/>
        <w:jc w:val="center"/>
        <w:rPr>
          <w:rFonts w:hint="eastAsia" w:ascii="宋体" w:hAnsi="宋体" w:eastAsia="宋体"/>
          <w:snapToGrid w:val="0"/>
          <w:color w:val="auto"/>
          <w:kern w:val="0"/>
          <w:sz w:val="28"/>
          <w:szCs w:val="28"/>
          <w:highlight w:val="none"/>
          <w:lang w:eastAsia="zh-CN"/>
        </w:rPr>
      </w:pPr>
      <w:r>
        <w:rPr>
          <w:rFonts w:hint="eastAsia" w:ascii="宋体" w:hAnsi="宋体"/>
          <w:snapToGrid w:val="0"/>
          <w:color w:val="auto"/>
          <w:kern w:val="0"/>
          <w:sz w:val="28"/>
          <w:szCs w:val="28"/>
          <w:highlight w:val="none"/>
          <w:u w:val="single"/>
          <w:lang w:val="en-US" w:eastAsia="zh-CN"/>
        </w:rPr>
        <w:t>迎龙小院保安、保洁、维修服务及会议服务</w:t>
      </w:r>
      <w:r>
        <w:rPr>
          <w:rFonts w:hint="eastAsia" w:ascii="宋体" w:hAnsi="宋体"/>
          <w:snapToGrid w:val="0"/>
          <w:color w:val="auto"/>
          <w:kern w:val="0"/>
          <w:sz w:val="28"/>
          <w:szCs w:val="28"/>
          <w:highlight w:val="none"/>
          <w:u w:val="single"/>
          <w:lang w:eastAsia="zh-CN"/>
        </w:rPr>
        <w:t xml:space="preserve">  </w:t>
      </w:r>
      <w:r>
        <w:rPr>
          <w:rFonts w:hint="eastAsia" w:ascii="宋体" w:hAnsi="宋体"/>
          <w:snapToGrid w:val="0"/>
          <w:color w:val="auto"/>
          <w:w w:val="99"/>
          <w:kern w:val="0"/>
          <w:sz w:val="28"/>
          <w:szCs w:val="28"/>
          <w:highlight w:val="none"/>
          <w:lang w:eastAsia="zh-CN"/>
        </w:rPr>
        <w:t>比选公告</w:t>
      </w:r>
    </w:p>
    <w:p w14:paraId="0F63EB8E">
      <w:pPr>
        <w:pStyle w:val="5"/>
        <w:spacing w:before="100" w:after="100" w:line="460" w:lineRule="exact"/>
        <w:rPr>
          <w:rFonts w:ascii="宋体" w:hAnsi="宋体"/>
          <w:snapToGrid w:val="0"/>
          <w:color w:val="auto"/>
          <w:sz w:val="28"/>
          <w:szCs w:val="28"/>
          <w:highlight w:val="none"/>
        </w:rPr>
      </w:pPr>
      <w:bookmarkStart w:id="21" w:name="_Toc200359427"/>
      <w:bookmarkStart w:id="22" w:name="_Toc27491"/>
      <w:bookmarkStart w:id="23" w:name="_Toc287620667"/>
      <w:bookmarkStart w:id="24" w:name="_Toc26523"/>
      <w:bookmarkStart w:id="25" w:name="_Toc21181"/>
      <w:bookmarkStart w:id="26" w:name="_Toc287607728"/>
      <w:bookmarkStart w:id="27" w:name="_Toc200359238"/>
      <w:bookmarkStart w:id="28" w:name="_Toc509218692"/>
      <w:bookmarkStart w:id="29" w:name="_Toc430530416"/>
      <w:bookmarkStart w:id="30" w:name="_Toc224103299"/>
      <w:bookmarkStart w:id="31" w:name="_Toc277082536"/>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1"/>
      <w:bookmarkEnd w:id="22"/>
      <w:bookmarkEnd w:id="23"/>
      <w:bookmarkEnd w:id="24"/>
      <w:bookmarkEnd w:id="25"/>
      <w:bookmarkEnd w:id="26"/>
      <w:bookmarkEnd w:id="27"/>
      <w:bookmarkEnd w:id="28"/>
      <w:bookmarkEnd w:id="29"/>
      <w:bookmarkEnd w:id="30"/>
      <w:bookmarkEnd w:id="31"/>
    </w:p>
    <w:p w14:paraId="49602369">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本项目</w:t>
      </w:r>
      <w:r>
        <w:rPr>
          <w:rFonts w:hint="eastAsia" w:ascii="宋体" w:hAnsi="宋体"/>
          <w:snapToGrid w:val="0"/>
          <w:color w:val="auto"/>
          <w:kern w:val="0"/>
          <w:szCs w:val="21"/>
          <w:highlight w:val="none"/>
          <w:u w:val="single"/>
        </w:rPr>
        <w:t xml:space="preserve"> </w:t>
      </w:r>
      <w:r>
        <w:rPr>
          <w:rFonts w:hint="eastAsia" w:ascii="宋体" w:hAnsi="宋体" w:cs="Times New Roman"/>
          <w:snapToGrid w:val="0"/>
          <w:color w:val="auto"/>
          <w:kern w:val="0"/>
          <w:szCs w:val="21"/>
          <w:highlight w:val="none"/>
          <w:u w:val="single"/>
          <w:lang w:val="en-US" w:eastAsia="zh-CN"/>
        </w:rPr>
        <w:t>迎龙小院保安、保洁、维修服务及会议服务</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lang w:eastAsia="zh-CN"/>
        </w:rPr>
        <w:t>重庆广阳岛生态城实业有限公司</w:t>
      </w:r>
      <w:r>
        <w:rPr>
          <w:rFonts w:ascii="宋体" w:hAnsi="宋体"/>
          <w:snapToGrid w:val="0"/>
          <w:color w:val="auto"/>
          <w:kern w:val="0"/>
          <w:szCs w:val="21"/>
          <w:highlight w:val="none"/>
        </w:rPr>
        <w:t>，资金来自</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重庆广阳岛生态城实业有限公司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14:paraId="090859AE">
      <w:pPr>
        <w:pStyle w:val="5"/>
        <w:spacing w:before="100" w:after="100" w:line="460" w:lineRule="exact"/>
        <w:rPr>
          <w:rFonts w:ascii="宋体" w:hAnsi="宋体"/>
          <w:snapToGrid w:val="0"/>
          <w:color w:val="auto"/>
          <w:sz w:val="28"/>
          <w:szCs w:val="28"/>
          <w:highlight w:val="none"/>
        </w:rPr>
      </w:pPr>
      <w:bookmarkStart w:id="32" w:name="_Toc287620668"/>
      <w:bookmarkStart w:id="33" w:name="_Toc509218693"/>
      <w:bookmarkStart w:id="34" w:name="_Toc2343"/>
      <w:bookmarkStart w:id="35" w:name="_Toc22556"/>
      <w:bookmarkStart w:id="36" w:name="_Toc287607729"/>
      <w:bookmarkStart w:id="37" w:name="_Toc224103300"/>
      <w:bookmarkStart w:id="38" w:name="_Toc200359239"/>
      <w:bookmarkStart w:id="39" w:name="_Toc200359428"/>
      <w:bookmarkStart w:id="40" w:name="_Toc277082537"/>
      <w:bookmarkStart w:id="41" w:name="_Toc16344"/>
      <w:bookmarkStart w:id="42" w:name="_Toc430530417"/>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32"/>
      <w:bookmarkEnd w:id="33"/>
      <w:bookmarkEnd w:id="34"/>
      <w:bookmarkEnd w:id="35"/>
      <w:bookmarkEnd w:id="36"/>
      <w:bookmarkEnd w:id="37"/>
      <w:bookmarkEnd w:id="38"/>
      <w:bookmarkEnd w:id="39"/>
      <w:bookmarkEnd w:id="40"/>
      <w:bookmarkEnd w:id="41"/>
      <w:bookmarkEnd w:id="42"/>
    </w:p>
    <w:p w14:paraId="607150B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 xml:space="preserve">2.1 </w:t>
      </w:r>
      <w:r>
        <w:rPr>
          <w:rFonts w:hint="eastAsia" w:ascii="宋体" w:hAnsi="宋体" w:cs="宋体"/>
          <w:color w:val="auto"/>
          <w:sz w:val="21"/>
          <w:szCs w:val="21"/>
          <w:highlight w:val="none"/>
          <w:lang w:val="zh-CN"/>
        </w:rPr>
        <w:t>服务</w:t>
      </w:r>
      <w:r>
        <w:rPr>
          <w:rFonts w:hint="eastAsia" w:ascii="宋体" w:hAnsi="宋体"/>
          <w:snapToGrid w:val="0"/>
          <w:color w:val="auto"/>
          <w:kern w:val="0"/>
          <w:szCs w:val="21"/>
          <w:highlight w:val="none"/>
        </w:rPr>
        <w:t>地点：重庆经开区</w:t>
      </w:r>
      <w:r>
        <w:rPr>
          <w:rFonts w:hint="eastAsia" w:ascii="宋体" w:hAnsi="宋体"/>
          <w:snapToGrid w:val="0"/>
          <w:color w:val="auto"/>
          <w:kern w:val="0"/>
          <w:szCs w:val="21"/>
          <w:highlight w:val="none"/>
          <w:u w:val="none"/>
          <w:lang w:eastAsia="zh-CN"/>
        </w:rPr>
        <w:t>。</w:t>
      </w:r>
    </w:p>
    <w:p w14:paraId="056DEC2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cs="Times New Roman"/>
          <w:snapToGrid w:val="0"/>
          <w:color w:val="auto"/>
          <w:kern w:val="0"/>
          <w:szCs w:val="21"/>
          <w:highlight w:val="none"/>
        </w:rPr>
        <w:t>2.</w:t>
      </w:r>
      <w:r>
        <w:rPr>
          <w:rFonts w:hint="eastAsia" w:ascii="宋体" w:hAnsi="宋体" w:cs="Times New Roman"/>
          <w:snapToGrid w:val="0"/>
          <w:color w:val="auto"/>
          <w:kern w:val="0"/>
          <w:szCs w:val="21"/>
          <w:highlight w:val="none"/>
          <w:lang w:val="en-US" w:eastAsia="zh-CN"/>
        </w:rPr>
        <w:t>2</w:t>
      </w:r>
      <w:r>
        <w:rPr>
          <w:rFonts w:hint="eastAsia" w:ascii="宋体" w:hAnsi="宋体" w:cs="Times New Roman"/>
          <w:snapToGrid w:val="0"/>
          <w:color w:val="auto"/>
          <w:kern w:val="0"/>
          <w:szCs w:val="21"/>
          <w:highlight w:val="none"/>
        </w:rPr>
        <w:t xml:space="preserve"> </w:t>
      </w:r>
      <w:r>
        <w:rPr>
          <w:rFonts w:hint="eastAsia" w:ascii="宋体" w:hAnsi="宋体" w:cs="Times New Roman"/>
          <w:snapToGrid w:val="0"/>
          <w:color w:val="auto"/>
          <w:kern w:val="0"/>
          <w:szCs w:val="21"/>
          <w:highlight w:val="none"/>
          <w:lang w:val="en-US" w:eastAsia="zh-CN"/>
        </w:rPr>
        <w:t>比选</w:t>
      </w:r>
      <w:r>
        <w:rPr>
          <w:rFonts w:hint="eastAsia" w:ascii="宋体" w:hAnsi="宋体" w:cs="Times New Roman"/>
          <w:snapToGrid w:val="0"/>
          <w:color w:val="auto"/>
          <w:kern w:val="0"/>
          <w:szCs w:val="21"/>
          <w:highlight w:val="none"/>
        </w:rPr>
        <w:t>范围：</w:t>
      </w:r>
      <w:r>
        <w:rPr>
          <w:rFonts w:hint="eastAsia" w:ascii="宋体" w:hAnsi="宋体" w:eastAsia="宋体"/>
          <w:snapToGrid w:val="0"/>
          <w:color w:val="auto"/>
          <w:kern w:val="0"/>
          <w:szCs w:val="21"/>
          <w:highlight w:val="none"/>
          <w:lang w:val="en-US" w:eastAsia="zh-CN"/>
        </w:rPr>
        <w:t>提供迎龙小院保安、保洁</w:t>
      </w:r>
      <w:r>
        <w:rPr>
          <w:rFonts w:hint="eastAsia" w:ascii="宋体" w:hAnsi="宋体"/>
          <w:snapToGrid w:val="0"/>
          <w:color w:val="auto"/>
          <w:kern w:val="0"/>
          <w:szCs w:val="21"/>
          <w:highlight w:val="none"/>
          <w:lang w:val="en-US" w:eastAsia="zh-CN"/>
        </w:rPr>
        <w:t>、</w:t>
      </w:r>
      <w:r>
        <w:rPr>
          <w:rFonts w:hint="eastAsia" w:ascii="宋体" w:hAnsi="宋体" w:eastAsia="宋体"/>
          <w:snapToGrid w:val="0"/>
          <w:color w:val="auto"/>
          <w:kern w:val="0"/>
          <w:szCs w:val="21"/>
          <w:highlight w:val="none"/>
          <w:lang w:val="en-US" w:eastAsia="zh-CN"/>
        </w:rPr>
        <w:t>维修服务及会议服务</w:t>
      </w:r>
      <w:r>
        <w:rPr>
          <w:rFonts w:hint="eastAsia" w:ascii="宋体" w:hAnsi="宋体"/>
          <w:snapToGrid w:val="0"/>
          <w:color w:val="auto"/>
          <w:kern w:val="0"/>
          <w:szCs w:val="21"/>
          <w:highlight w:val="none"/>
          <w:lang w:val="en-US" w:eastAsia="zh-CN"/>
        </w:rPr>
        <w:t>等服务合同所涉及的全部内容</w:t>
      </w:r>
      <w:r>
        <w:rPr>
          <w:rFonts w:hint="eastAsia" w:ascii="宋体" w:hAnsi="宋体" w:eastAsia="宋体"/>
          <w:snapToGrid w:val="0"/>
          <w:color w:val="auto"/>
          <w:kern w:val="0"/>
          <w:szCs w:val="21"/>
          <w:highlight w:val="none"/>
          <w:lang w:val="en-US" w:eastAsia="zh-CN"/>
        </w:rPr>
        <w:t>，服务团队配置要求如下:保安4名，保洁3名，维修1名，会务2名</w:t>
      </w:r>
      <w:r>
        <w:rPr>
          <w:rFonts w:hint="eastAsia" w:ascii="宋体" w:hAnsi="宋体" w:eastAsia="宋体"/>
          <w:b/>
          <w:bCs/>
          <w:snapToGrid w:val="0"/>
          <w:color w:val="auto"/>
          <w:kern w:val="0"/>
          <w:szCs w:val="21"/>
          <w:highlight w:val="none"/>
          <w:lang w:val="en-US" w:eastAsia="zh-CN"/>
        </w:rPr>
        <w:t>(各岗位人员要求及工作标准详情见</w:t>
      </w:r>
      <w:r>
        <w:rPr>
          <w:rFonts w:hint="eastAsia" w:ascii="宋体" w:hAnsi="宋体"/>
          <w:b/>
          <w:bCs/>
          <w:snapToGrid w:val="0"/>
          <w:color w:val="auto"/>
          <w:kern w:val="0"/>
          <w:szCs w:val="21"/>
          <w:highlight w:val="none"/>
          <w:lang w:val="en-US" w:eastAsia="zh-CN"/>
        </w:rPr>
        <w:t>第五章</w:t>
      </w:r>
      <w:r>
        <w:rPr>
          <w:rFonts w:hint="eastAsia" w:ascii="宋体" w:hAnsi="宋体" w:eastAsia="宋体"/>
          <w:b/>
          <w:bCs/>
          <w:snapToGrid w:val="0"/>
          <w:color w:val="auto"/>
          <w:kern w:val="0"/>
          <w:szCs w:val="21"/>
          <w:highlight w:val="none"/>
          <w:lang w:val="en-US" w:eastAsia="zh-CN"/>
        </w:rPr>
        <w:t>）</w:t>
      </w:r>
      <w:r>
        <w:rPr>
          <w:rFonts w:hint="eastAsia" w:ascii="宋体" w:hAnsi="宋体" w:cs="Times New Roman"/>
          <w:snapToGrid w:val="0"/>
          <w:color w:val="auto"/>
          <w:kern w:val="0"/>
          <w:szCs w:val="21"/>
          <w:highlight w:val="none"/>
          <w:lang w:val="en-US" w:eastAsia="zh-CN"/>
        </w:rPr>
        <w:t>。</w:t>
      </w:r>
    </w:p>
    <w:p w14:paraId="6EAFAE2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服务期：</w:t>
      </w:r>
      <w:r>
        <w:rPr>
          <w:rFonts w:hint="eastAsia" w:ascii="宋体" w:hAnsi="宋体"/>
          <w:snapToGrid w:val="0"/>
          <w:color w:val="auto"/>
          <w:kern w:val="0"/>
          <w:szCs w:val="21"/>
          <w:highlight w:val="none"/>
          <w:lang w:val="en-US" w:eastAsia="zh-CN"/>
        </w:rPr>
        <w:t>10个月，从中标通知书下发之日起。</w:t>
      </w:r>
    </w:p>
    <w:p w14:paraId="0FBE49C8">
      <w:pPr>
        <w:pStyle w:val="5"/>
        <w:spacing w:before="100" w:after="100" w:line="460" w:lineRule="exact"/>
        <w:rPr>
          <w:rFonts w:hint="eastAsia" w:ascii="宋体" w:hAnsi="宋体" w:eastAsia="宋体"/>
          <w:snapToGrid w:val="0"/>
          <w:color w:val="auto"/>
          <w:sz w:val="28"/>
          <w:szCs w:val="28"/>
          <w:highlight w:val="none"/>
          <w:lang w:eastAsia="zh-CN"/>
        </w:rPr>
      </w:pPr>
      <w:bookmarkStart w:id="43" w:name="_Toc277082538"/>
      <w:bookmarkStart w:id="44" w:name="_Toc5240"/>
      <w:bookmarkStart w:id="45" w:name="_Toc1052"/>
      <w:bookmarkStart w:id="46" w:name="_Toc430530418"/>
      <w:bookmarkStart w:id="47" w:name="_Toc19513"/>
      <w:bookmarkStart w:id="48" w:name="_Toc224103301"/>
      <w:bookmarkStart w:id="49" w:name="_Toc200359240"/>
      <w:bookmarkStart w:id="50" w:name="_Toc200359429"/>
      <w:bookmarkStart w:id="51" w:name="_Toc509218694"/>
      <w:bookmarkStart w:id="52" w:name="_Toc287607730"/>
      <w:bookmarkStart w:id="53" w:name="_Toc287620669"/>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竞选人</w:t>
      </w:r>
      <w:r>
        <w:rPr>
          <w:rFonts w:ascii="宋体" w:hAnsi="宋体"/>
          <w:snapToGrid w:val="0"/>
          <w:color w:val="auto"/>
          <w:sz w:val="28"/>
          <w:szCs w:val="28"/>
          <w:highlight w:val="none"/>
        </w:rPr>
        <w:t>资格要求</w:t>
      </w:r>
      <w:bookmarkEnd w:id="43"/>
      <w:bookmarkEnd w:id="44"/>
      <w:bookmarkEnd w:id="45"/>
      <w:bookmarkEnd w:id="46"/>
      <w:bookmarkEnd w:id="47"/>
      <w:bookmarkEnd w:id="48"/>
      <w:bookmarkEnd w:id="49"/>
      <w:bookmarkEnd w:id="50"/>
      <w:bookmarkEnd w:id="51"/>
      <w:bookmarkEnd w:id="52"/>
      <w:bookmarkEnd w:id="53"/>
    </w:p>
    <w:p w14:paraId="7BD16E3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4FC7928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具备的资质条件：</w:t>
      </w:r>
      <w:bookmarkStart w:id="54" w:name="OLE_LINK2"/>
      <w:r>
        <w:rPr>
          <w:rFonts w:hint="eastAsia" w:ascii="宋体" w:hAnsi="宋体"/>
          <w:snapToGrid w:val="0"/>
          <w:color w:val="auto"/>
          <w:kern w:val="0"/>
          <w:szCs w:val="21"/>
          <w:highlight w:val="none"/>
          <w:u w:val="single"/>
          <w:lang w:val="en-US" w:eastAsia="zh-CN"/>
        </w:rPr>
        <w:t>具备工商行政部门颁发的有效的营业执照</w:t>
      </w:r>
      <w:r>
        <w:rPr>
          <w:rFonts w:hint="eastAsia" w:ascii="宋体" w:hAnsi="宋体"/>
          <w:snapToGrid w:val="0"/>
          <w:color w:val="auto"/>
          <w:kern w:val="0"/>
          <w:szCs w:val="21"/>
          <w:highlight w:val="none"/>
          <w:u w:val="single"/>
        </w:rPr>
        <w:t xml:space="preserve"> </w:t>
      </w:r>
      <w:bookmarkEnd w:id="54"/>
      <w:r>
        <w:rPr>
          <w:rFonts w:hint="eastAsia" w:ascii="宋体" w:hAnsi="宋体"/>
          <w:snapToGrid w:val="0"/>
          <w:color w:val="auto"/>
          <w:kern w:val="0"/>
          <w:szCs w:val="21"/>
          <w:highlight w:val="none"/>
        </w:rPr>
        <w:t>；</w:t>
      </w:r>
    </w:p>
    <w:p w14:paraId="57417A66">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w:t>
      </w:r>
      <w:bookmarkStart w:id="55" w:name="OLE_LINK8"/>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还应在人员、设备、资金等方面具有相应的</w:t>
      </w:r>
      <w:r>
        <w:rPr>
          <w:rFonts w:hint="eastAsia" w:ascii="宋体" w:hAnsi="宋体"/>
          <w:snapToGrid w:val="0"/>
          <w:color w:val="auto"/>
          <w:kern w:val="0"/>
          <w:szCs w:val="21"/>
          <w:highlight w:val="none"/>
          <w:lang w:val="en-US" w:eastAsia="zh-CN"/>
        </w:rPr>
        <w:t>服务</w:t>
      </w:r>
      <w:r>
        <w:rPr>
          <w:rFonts w:hint="eastAsia" w:ascii="宋体" w:hAnsi="宋体"/>
          <w:snapToGrid w:val="0"/>
          <w:color w:val="auto"/>
          <w:kern w:val="0"/>
          <w:szCs w:val="21"/>
          <w:highlight w:val="none"/>
        </w:rPr>
        <w:t>能力，详见招标文件第二章</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须知前附表第1.4.1项内</w:t>
      </w:r>
      <w:bookmarkEnd w:id="55"/>
      <w:r>
        <w:rPr>
          <w:rFonts w:hint="eastAsia" w:ascii="宋体" w:hAnsi="宋体"/>
          <w:snapToGrid w:val="0"/>
          <w:color w:val="auto"/>
          <w:kern w:val="0"/>
          <w:szCs w:val="21"/>
          <w:highlight w:val="none"/>
        </w:rPr>
        <w:t>容。</w:t>
      </w:r>
    </w:p>
    <w:p w14:paraId="16578C27">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0167BFC0">
      <w:pPr>
        <w:pStyle w:val="5"/>
        <w:spacing w:before="100" w:after="100" w:line="460" w:lineRule="exact"/>
        <w:rPr>
          <w:rFonts w:ascii="宋体" w:hAnsi="宋体"/>
          <w:snapToGrid w:val="0"/>
          <w:color w:val="auto"/>
          <w:sz w:val="28"/>
          <w:szCs w:val="28"/>
          <w:highlight w:val="none"/>
        </w:rPr>
      </w:pPr>
      <w:bookmarkStart w:id="56" w:name="_Toc224103302"/>
      <w:bookmarkStart w:id="57" w:name="_Toc277082539"/>
      <w:bookmarkStart w:id="58" w:name="_Toc4182"/>
      <w:bookmarkStart w:id="59" w:name="_Toc200359430"/>
      <w:bookmarkStart w:id="60" w:name="_Toc13751"/>
      <w:bookmarkStart w:id="61" w:name="_Toc200359241"/>
      <w:bookmarkStart w:id="62" w:name="_Toc10508"/>
      <w:bookmarkStart w:id="63" w:name="_Toc509218695"/>
      <w:bookmarkStart w:id="64" w:name="_Toc287607731"/>
      <w:bookmarkStart w:id="65" w:name="_Toc430530419"/>
      <w:bookmarkStart w:id="66" w:name="_Toc287620670"/>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56"/>
      <w:bookmarkEnd w:id="57"/>
      <w:bookmarkEnd w:id="58"/>
      <w:bookmarkEnd w:id="59"/>
      <w:bookmarkEnd w:id="60"/>
      <w:bookmarkEnd w:id="61"/>
      <w:bookmarkEnd w:id="62"/>
      <w:bookmarkEnd w:id="63"/>
      <w:bookmarkEnd w:id="64"/>
      <w:bookmarkEnd w:id="65"/>
      <w:bookmarkEnd w:id="66"/>
    </w:p>
    <w:p w14:paraId="60A3C369">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凡有意参加投标者，请于</w:t>
      </w: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3</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日（北京时间，下同）起在</w:t>
      </w:r>
      <w:r>
        <w:rPr>
          <w:rFonts w:hint="eastAsia" w:ascii="宋体" w:hAnsi="宋体"/>
          <w:snapToGrid w:val="0"/>
          <w:color w:val="auto"/>
          <w:kern w:val="0"/>
          <w:szCs w:val="21"/>
          <w:highlight w:val="none"/>
          <w:lang w:val="en-US" w:eastAsia="zh-CN"/>
        </w:rPr>
        <w:t>行采家</w:t>
      </w:r>
      <w:r>
        <w:rPr>
          <w:rFonts w:hint="eastAsia" w:ascii="宋体" w:hAnsi="宋体"/>
          <w:snapToGrid w:val="0"/>
          <w:color w:val="auto"/>
          <w:kern w:val="0"/>
          <w:szCs w:val="21"/>
          <w:highlight w:val="none"/>
        </w:rPr>
        <w:t>(https://www.gec123.com/）</w:t>
      </w:r>
      <w:r>
        <w:rPr>
          <w:rFonts w:hint="eastAsia" w:ascii="宋体" w:hAnsi="宋体"/>
          <w:snapToGrid w:val="0"/>
          <w:color w:val="auto"/>
          <w:kern w:val="0"/>
          <w:szCs w:val="21"/>
          <w:highlight w:val="none"/>
          <w:lang w:eastAsia="zh-CN"/>
        </w:rPr>
        <w:t>、</w:t>
      </w:r>
      <w:bookmarkStart w:id="67" w:name="OLE_LINK14"/>
      <w:r>
        <w:rPr>
          <w:rFonts w:hint="eastAsia" w:ascii="宋体" w:hAnsi="宋体"/>
          <w:snapToGrid w:val="0"/>
          <w:color w:val="auto"/>
          <w:kern w:val="0"/>
          <w:szCs w:val="21"/>
          <w:highlight w:val="none"/>
          <w:lang w:eastAsia="zh-CN"/>
        </w:rPr>
        <w:t>重庆广阳湾生态城投资发展集团有限公司官网（http://cq-gyw.com/）</w:t>
      </w:r>
      <w:bookmarkEnd w:id="67"/>
      <w:r>
        <w:rPr>
          <w:rFonts w:ascii="宋体" w:hAnsi="宋体"/>
          <w:snapToGrid w:val="0"/>
          <w:color w:val="auto"/>
          <w:kern w:val="0"/>
          <w:szCs w:val="21"/>
          <w:highlight w:val="none"/>
        </w:rPr>
        <w:t>下载招标文件</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工程量清单、图纸、澄清、修改、补充通知、最高限价通知等全部内容。不管下载与否都视为潜在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全部知晓有关招投标过程和全部内容。</w:t>
      </w:r>
    </w:p>
    <w:p w14:paraId="3EFDB01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u w:val="none"/>
        </w:rPr>
      </w:pPr>
      <w:r>
        <w:rPr>
          <w:rFonts w:hint="eastAsia" w:ascii="宋体" w:hAnsi="宋体"/>
          <w:snapToGrid w:val="0"/>
          <w:color w:val="auto"/>
          <w:kern w:val="0"/>
          <w:szCs w:val="21"/>
          <w:highlight w:val="none"/>
        </w:rPr>
        <w:t xml:space="preserve">4.2  </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提问时间从本公告发布至（北京时间）前</w:t>
      </w: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3</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7 </w:t>
      </w:r>
      <w:r>
        <w:rPr>
          <w:rFonts w:ascii="宋体" w:hAnsi="宋体"/>
          <w:snapToGrid w:val="0"/>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17</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00</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分</w:t>
      </w:r>
      <w:r>
        <w:rPr>
          <w:rFonts w:hint="eastAsia" w:ascii="宋体" w:hAnsi="宋体"/>
          <w:snapToGrid w:val="0"/>
          <w:color w:val="auto"/>
          <w:kern w:val="0"/>
          <w:szCs w:val="21"/>
          <w:highlight w:val="none"/>
          <w:u w:val="none"/>
          <w:lang w:val="en-US" w:eastAsia="zh-CN"/>
        </w:rPr>
        <w:t>前，向代理机构或比选人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rPr>
        <w:t>。</w:t>
      </w:r>
    </w:p>
    <w:p w14:paraId="4C6DB5F9">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4.3  </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应于</w:t>
      </w: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3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10</w:t>
      </w:r>
      <w:r>
        <w:rPr>
          <w:rFonts w:ascii="宋体" w:hAnsi="宋体"/>
          <w:snapToGrid w:val="0"/>
          <w:color w:val="auto"/>
          <w:kern w:val="0"/>
          <w:szCs w:val="21"/>
          <w:highlight w:val="none"/>
        </w:rPr>
        <w:t>日</w:t>
      </w:r>
      <w:r>
        <w:rPr>
          <w:rFonts w:hint="eastAsia" w:ascii="宋体" w:hAnsi="宋体" w:cs="宋体"/>
          <w:color w:val="auto"/>
          <w:kern w:val="0"/>
          <w:szCs w:val="21"/>
          <w:highlight w:val="none"/>
          <w:u w:val="single"/>
          <w:lang w:val="en-US" w:eastAsia="zh-CN"/>
        </w:rPr>
        <w:t>18</w:t>
      </w:r>
      <w:r>
        <w:rPr>
          <w:rFonts w:hint="eastAsia" w:ascii="宋体" w:hAnsi="宋体" w:cs="宋体"/>
          <w:color w:val="auto"/>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（北京时间）前在</w:t>
      </w:r>
      <w:r>
        <w:rPr>
          <w:rFonts w:hint="eastAsia" w:ascii="宋体" w:hAnsi="宋体"/>
          <w:snapToGrid w:val="0"/>
          <w:color w:val="auto"/>
          <w:kern w:val="0"/>
          <w:szCs w:val="21"/>
          <w:highlight w:val="none"/>
          <w:lang w:val="en-US" w:eastAsia="zh-CN"/>
        </w:rPr>
        <w:t>行采家</w:t>
      </w:r>
      <w:r>
        <w:rPr>
          <w:rFonts w:hint="eastAsia" w:ascii="宋体" w:hAnsi="宋体"/>
          <w:snapToGrid w:val="0"/>
          <w:color w:val="auto"/>
          <w:kern w:val="0"/>
          <w:szCs w:val="21"/>
          <w:highlight w:val="none"/>
        </w:rPr>
        <w:t>(https://www.gec123.com/）</w:t>
      </w:r>
      <w:r>
        <w:rPr>
          <w:rFonts w:hint="eastAsia" w:ascii="宋体" w:hAnsi="宋体"/>
          <w:snapToGrid w:val="0"/>
          <w:color w:val="auto"/>
          <w:kern w:val="0"/>
          <w:szCs w:val="21"/>
          <w:highlight w:val="none"/>
          <w:lang w:eastAsia="zh-CN"/>
        </w:rPr>
        <w:t>、</w:t>
      </w:r>
      <w:bookmarkStart w:id="68" w:name="OLE_LINK15"/>
      <w:r>
        <w:rPr>
          <w:rFonts w:hint="eastAsia" w:ascii="宋体" w:hAnsi="宋体"/>
          <w:snapToGrid w:val="0"/>
          <w:color w:val="auto"/>
          <w:kern w:val="0"/>
          <w:szCs w:val="21"/>
          <w:highlight w:val="none"/>
          <w:lang w:eastAsia="zh-CN"/>
        </w:rPr>
        <w:t>重庆广阳湾生态城投资发展集团有限公司官网（http://cq-gyw.com/）</w:t>
      </w:r>
      <w:bookmarkEnd w:id="68"/>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14:paraId="635362A3">
      <w:pPr>
        <w:pStyle w:val="5"/>
        <w:spacing w:before="100" w:after="100" w:line="460" w:lineRule="exact"/>
        <w:rPr>
          <w:rFonts w:ascii="宋体" w:hAnsi="宋体"/>
          <w:snapToGrid w:val="0"/>
          <w:color w:val="auto"/>
          <w:sz w:val="28"/>
          <w:szCs w:val="28"/>
          <w:highlight w:val="none"/>
        </w:rPr>
      </w:pPr>
      <w:bookmarkStart w:id="69" w:name="_Toc287607732"/>
      <w:bookmarkStart w:id="70" w:name="_Toc509218696"/>
      <w:bookmarkStart w:id="71" w:name="_Toc430530420"/>
      <w:bookmarkStart w:id="72" w:name="_Toc224103303"/>
      <w:bookmarkStart w:id="73" w:name="_Toc200359242"/>
      <w:bookmarkStart w:id="74" w:name="_Toc28449"/>
      <w:bookmarkStart w:id="75" w:name="_Toc287620671"/>
      <w:bookmarkStart w:id="76" w:name="_Toc11595"/>
      <w:bookmarkStart w:id="77" w:name="_Toc277082540"/>
      <w:bookmarkStart w:id="78" w:name="_Toc3893"/>
      <w:bookmarkStart w:id="79" w:name="_Toc200359431"/>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竞选文件</w:t>
      </w:r>
      <w:r>
        <w:rPr>
          <w:rFonts w:ascii="宋体" w:hAnsi="宋体"/>
          <w:snapToGrid w:val="0"/>
          <w:color w:val="auto"/>
          <w:sz w:val="28"/>
          <w:szCs w:val="28"/>
          <w:highlight w:val="none"/>
        </w:rPr>
        <w:t>的递交</w:t>
      </w:r>
      <w:bookmarkEnd w:id="69"/>
      <w:bookmarkEnd w:id="70"/>
      <w:bookmarkEnd w:id="71"/>
      <w:bookmarkEnd w:id="72"/>
      <w:bookmarkEnd w:id="73"/>
      <w:bookmarkEnd w:id="74"/>
      <w:bookmarkEnd w:id="75"/>
      <w:bookmarkEnd w:id="76"/>
      <w:bookmarkEnd w:id="77"/>
      <w:bookmarkEnd w:id="78"/>
      <w:bookmarkEnd w:id="79"/>
    </w:p>
    <w:p w14:paraId="4106822F">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递交的截止时间（投标截止时间，下同）为</w:t>
      </w:r>
      <w:r>
        <w:rPr>
          <w:rFonts w:hint="eastAsia" w:ascii="宋体" w:hAnsi="宋体"/>
          <w:snapToGrid w:val="0"/>
          <w:color w:val="auto"/>
          <w:kern w:val="0"/>
          <w:szCs w:val="21"/>
          <w:highlight w:val="none"/>
          <w:u w:val="single"/>
          <w:lang w:val="en-US" w:eastAsia="zh-CN"/>
        </w:rPr>
        <w:t xml:space="preserve">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3</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14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14</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30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 xml:space="preserve"> </w:t>
      </w:r>
      <w:bookmarkStart w:id="80" w:name="OLE_LINK4"/>
      <w:r>
        <w:rPr>
          <w:rFonts w:hint="eastAsia" w:ascii="宋体" w:hAnsi="宋体"/>
          <w:snapToGrid w:val="0"/>
          <w:color w:val="auto"/>
          <w:kern w:val="0"/>
          <w:szCs w:val="21"/>
          <w:highlight w:val="none"/>
          <w:u w:val="single"/>
          <w:lang w:eastAsia="zh-CN"/>
        </w:rPr>
        <w:t>天之瓴建设股份有限公司会议室（</w:t>
      </w:r>
      <w:bookmarkStart w:id="81" w:name="OLE_LINK13"/>
      <w:r>
        <w:rPr>
          <w:rFonts w:hint="eastAsia" w:ascii="宋体" w:hAnsi="宋体"/>
          <w:snapToGrid w:val="0"/>
          <w:color w:val="auto"/>
          <w:kern w:val="0"/>
          <w:szCs w:val="21"/>
          <w:highlight w:val="none"/>
          <w:u w:val="single"/>
          <w:lang w:eastAsia="zh-CN"/>
        </w:rPr>
        <w:t>重庆市南岸区通江大道214号</w:t>
      </w:r>
      <w:bookmarkEnd w:id="81"/>
      <w:r>
        <w:rPr>
          <w:rFonts w:hint="eastAsia" w:ascii="宋体" w:hAnsi="宋体"/>
          <w:snapToGrid w:val="0"/>
          <w:color w:val="auto"/>
          <w:kern w:val="0"/>
          <w:szCs w:val="21"/>
          <w:highlight w:val="none"/>
          <w:u w:val="single"/>
          <w:lang w:val="en-US" w:eastAsia="zh-CN"/>
        </w:rPr>
        <w:t>2栋2单元3-3</w:t>
      </w:r>
      <w:r>
        <w:rPr>
          <w:rFonts w:hint="eastAsia" w:ascii="宋体" w:hAnsi="宋体"/>
          <w:snapToGrid w:val="0"/>
          <w:color w:val="auto"/>
          <w:kern w:val="0"/>
          <w:szCs w:val="21"/>
          <w:highlight w:val="none"/>
          <w:u w:val="single"/>
          <w:lang w:eastAsia="zh-CN"/>
        </w:rPr>
        <w:t>）</w:t>
      </w:r>
      <w:bookmarkEnd w:id="80"/>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54572418">
      <w:pPr>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t>5.2  逾期送达的或者未送达指定地点的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r>
        <w:rPr>
          <w:rFonts w:hint="eastAsia" w:ascii="宋体" w:hAnsi="宋体"/>
          <w:snapToGrid w:val="0"/>
          <w:color w:val="auto"/>
          <w:kern w:val="0"/>
          <w:szCs w:val="21"/>
          <w:highlight w:val="none"/>
          <w:lang w:val="en-US" w:eastAsia="zh-CN"/>
        </w:rPr>
        <w:t xml:space="preserve"> </w:t>
      </w:r>
    </w:p>
    <w:p w14:paraId="78191B7D">
      <w:pPr>
        <w:autoSpaceDE w:val="0"/>
        <w:autoSpaceDN w:val="0"/>
        <w:adjustRightInd w:val="0"/>
        <w:snapToGrid w:val="0"/>
        <w:spacing w:line="450" w:lineRule="exact"/>
        <w:ind w:firstLine="422" w:firstLineChars="200"/>
        <w:rPr>
          <w:rFonts w:hint="eastAsia" w:ascii="宋体" w:hAnsi="宋体" w:eastAsia="宋体"/>
          <w:b/>
          <w:bCs/>
          <w:snapToGrid w:val="0"/>
          <w:color w:val="auto"/>
          <w:kern w:val="0"/>
          <w:szCs w:val="21"/>
          <w:highlight w:val="none"/>
          <w:lang w:val="en-US" w:eastAsia="zh-CN"/>
        </w:rPr>
      </w:pPr>
      <w:r>
        <w:rPr>
          <w:rFonts w:hint="eastAsia" w:ascii="宋体" w:hAnsi="宋体"/>
          <w:b/>
          <w:bCs/>
          <w:snapToGrid w:val="0"/>
          <w:color w:val="auto"/>
          <w:kern w:val="0"/>
          <w:szCs w:val="21"/>
          <w:highlight w:val="none"/>
          <w:lang w:val="en-US" w:eastAsia="zh-CN"/>
        </w:rPr>
        <w:t>注：本项目采取线上线下相结合的方式进行竞选报价，竞选人须在报价截止时间（网上报价起止时间以行采家网页公告时间为准）前完成行采家平台网上报价及现场</w:t>
      </w:r>
      <w:bookmarkStart w:id="82" w:name="OLE_LINK12"/>
      <w:r>
        <w:rPr>
          <w:rFonts w:hint="eastAsia" w:ascii="宋体" w:hAnsi="宋体"/>
          <w:b/>
          <w:bCs/>
          <w:snapToGrid w:val="0"/>
          <w:color w:val="auto"/>
          <w:kern w:val="0"/>
          <w:szCs w:val="21"/>
          <w:highlight w:val="none"/>
          <w:lang w:val="en-US" w:eastAsia="zh-CN"/>
        </w:rPr>
        <w:t>竞选文件</w:t>
      </w:r>
      <w:bookmarkEnd w:id="82"/>
      <w:r>
        <w:rPr>
          <w:rFonts w:hint="eastAsia" w:ascii="宋体" w:hAnsi="宋体"/>
          <w:b/>
          <w:bCs/>
          <w:snapToGrid w:val="0"/>
          <w:color w:val="auto"/>
          <w:kern w:val="0"/>
          <w:szCs w:val="21"/>
          <w:highlight w:val="none"/>
          <w:lang w:val="en-US" w:eastAsia="zh-CN"/>
        </w:rPr>
        <w:t>的递交，线上线下竞选总报价须保持一致，报价截止时间止未在行采家上发起报价的，其竞选文件不予受理。</w:t>
      </w:r>
    </w:p>
    <w:p w14:paraId="6C9B5310">
      <w:pPr>
        <w:pStyle w:val="5"/>
        <w:spacing w:before="100" w:after="100" w:line="460" w:lineRule="exact"/>
        <w:rPr>
          <w:rFonts w:ascii="宋体" w:hAnsi="宋体"/>
          <w:snapToGrid w:val="0"/>
          <w:color w:val="auto"/>
          <w:sz w:val="28"/>
          <w:szCs w:val="28"/>
          <w:highlight w:val="none"/>
        </w:rPr>
      </w:pPr>
      <w:bookmarkStart w:id="83" w:name="_Toc509218697"/>
      <w:bookmarkStart w:id="84" w:name="_Toc224103304"/>
      <w:bookmarkStart w:id="85" w:name="_Toc200359432"/>
      <w:bookmarkStart w:id="86" w:name="_Toc200359243"/>
      <w:bookmarkStart w:id="87" w:name="_Toc277082541"/>
      <w:bookmarkStart w:id="88" w:name="_Toc430530421"/>
      <w:bookmarkStart w:id="89" w:name="_Toc287607733"/>
      <w:bookmarkStart w:id="90" w:name="_Toc8166"/>
      <w:bookmarkStart w:id="91" w:name="_Toc287620672"/>
      <w:bookmarkStart w:id="92" w:name="_Toc9905"/>
      <w:bookmarkStart w:id="93" w:name="_Toc19071"/>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83"/>
      <w:bookmarkEnd w:id="84"/>
      <w:bookmarkEnd w:id="85"/>
      <w:bookmarkEnd w:id="86"/>
      <w:bookmarkEnd w:id="87"/>
      <w:bookmarkEnd w:id="88"/>
      <w:bookmarkEnd w:id="89"/>
      <w:bookmarkEnd w:id="90"/>
      <w:bookmarkEnd w:id="91"/>
      <w:bookmarkEnd w:id="92"/>
      <w:bookmarkEnd w:id="93"/>
    </w:p>
    <w:p w14:paraId="1F2E1885">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比选公告同时</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 xml:space="preserve"> 行采家(https://www.gec123.com/）</w:t>
      </w:r>
      <w:r>
        <w:rPr>
          <w:rFonts w:hint="eastAsia" w:ascii="宋体" w:hAnsi="宋体"/>
          <w:snapToGrid w:val="0"/>
          <w:color w:val="auto"/>
          <w:kern w:val="0"/>
          <w:szCs w:val="21"/>
          <w:highlight w:val="none"/>
          <w:u w:val="single"/>
          <w:lang w:eastAsia="zh-CN"/>
        </w:rPr>
        <w:t>、重庆广阳湾生态城投资发展集团有限公司官网（http://cq-gyw.com/）</w:t>
      </w:r>
      <w:r>
        <w:rPr>
          <w:rFonts w:ascii="宋体" w:hAnsi="宋体"/>
          <w:snapToGrid w:val="0"/>
          <w:color w:val="auto"/>
          <w:kern w:val="0"/>
          <w:szCs w:val="21"/>
          <w:highlight w:val="none"/>
        </w:rPr>
        <w:t>上发布。</w:t>
      </w:r>
    </w:p>
    <w:p w14:paraId="1A06FA31">
      <w:pPr>
        <w:pStyle w:val="5"/>
        <w:spacing w:before="100" w:after="100" w:line="460" w:lineRule="exact"/>
        <w:rPr>
          <w:rFonts w:ascii="宋体" w:hAnsi="宋体"/>
          <w:snapToGrid w:val="0"/>
          <w:color w:val="auto"/>
          <w:sz w:val="28"/>
          <w:szCs w:val="28"/>
          <w:highlight w:val="none"/>
        </w:rPr>
      </w:pPr>
      <w:bookmarkStart w:id="94" w:name="_Toc31352"/>
      <w:bookmarkStart w:id="95" w:name="_Toc14240"/>
      <w:bookmarkStart w:id="96" w:name="_Toc287607734"/>
      <w:bookmarkStart w:id="97" w:name="_Toc430530422"/>
      <w:bookmarkStart w:id="98" w:name="_Toc277082542"/>
      <w:bookmarkStart w:id="99" w:name="_Toc224103305"/>
      <w:bookmarkStart w:id="100" w:name="_Toc18976"/>
      <w:bookmarkStart w:id="101" w:name="_Toc509218698"/>
      <w:bookmarkStart w:id="102" w:name="_Toc769"/>
      <w:bookmarkStart w:id="103" w:name="_Toc287620673"/>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94"/>
      <w:bookmarkEnd w:id="95"/>
      <w:bookmarkStart w:id="104" w:name="_Toc589"/>
      <w:r>
        <w:rPr>
          <w:rFonts w:ascii="宋体" w:hAnsi="宋体"/>
          <w:snapToGrid w:val="0"/>
          <w:color w:val="auto"/>
          <w:sz w:val="28"/>
          <w:szCs w:val="28"/>
          <w:highlight w:val="none"/>
        </w:rPr>
        <w:t>联系方式</w:t>
      </w:r>
      <w:bookmarkEnd w:id="96"/>
      <w:bookmarkEnd w:id="97"/>
      <w:bookmarkEnd w:id="98"/>
      <w:bookmarkEnd w:id="99"/>
      <w:bookmarkEnd w:id="100"/>
      <w:bookmarkEnd w:id="101"/>
      <w:bookmarkEnd w:id="102"/>
      <w:bookmarkEnd w:id="103"/>
      <w:bookmarkEnd w:id="104"/>
    </w:p>
    <w:p w14:paraId="27C62294">
      <w:pPr>
        <w:tabs>
          <w:tab w:val="left" w:pos="5140"/>
          <w:tab w:val="left" w:pos="8520"/>
        </w:tabs>
        <w:autoSpaceDE w:val="0"/>
        <w:autoSpaceDN w:val="0"/>
        <w:adjustRightInd w:val="0"/>
        <w:snapToGrid w:val="0"/>
        <w:spacing w:line="450" w:lineRule="exact"/>
        <w:jc w:val="left"/>
        <w:rPr>
          <w:rFonts w:hint="eastAsia" w:ascii="宋体" w:hAnsi="宋体"/>
          <w:snapToGrid w:val="0"/>
          <w:color w:val="auto"/>
          <w:kern w:val="0"/>
          <w:szCs w:val="21"/>
          <w:highlight w:val="none"/>
          <w:u w:val="none"/>
          <w:lang w:eastAsia="zh-CN"/>
        </w:rPr>
      </w:pPr>
      <w:bookmarkStart w:id="105" w:name="_Toc430530432"/>
      <w:bookmarkStart w:id="106" w:name="_Toc32148"/>
      <w:bookmarkStart w:id="107" w:name="_Toc224103315"/>
      <w:bookmarkStart w:id="108" w:name="_Toc287620683"/>
      <w:bookmarkStart w:id="109" w:name="_Toc287607744"/>
      <w:r>
        <w:rPr>
          <w:rFonts w:hint="eastAsia" w:ascii="宋体" w:hAnsi="宋体"/>
          <w:snapToGrid w:val="0"/>
          <w:color w:val="auto"/>
          <w:kern w:val="0"/>
          <w:szCs w:val="21"/>
          <w:highlight w:val="none"/>
          <w:u w:val="none"/>
          <w:lang w:val="en-US" w:eastAsia="zh-CN"/>
        </w:rPr>
        <w:t>比选</w:t>
      </w:r>
      <w:r>
        <w:rPr>
          <w:rFonts w:ascii="宋体" w:hAnsi="宋体"/>
          <w:snapToGrid w:val="0"/>
          <w:color w:val="auto"/>
          <w:kern w:val="0"/>
          <w:szCs w:val="21"/>
          <w:highlight w:val="none"/>
          <w:u w:val="none"/>
        </w:rPr>
        <w:t>人：</w:t>
      </w:r>
      <w:r>
        <w:rPr>
          <w:rFonts w:hint="eastAsia" w:ascii="宋体" w:hAnsi="宋体"/>
          <w:snapToGrid w:val="0"/>
          <w:color w:val="auto"/>
          <w:kern w:val="0"/>
          <w:szCs w:val="21"/>
          <w:highlight w:val="none"/>
          <w:u w:val="none"/>
          <w:lang w:eastAsia="zh-CN"/>
        </w:rPr>
        <w:t>重庆广阳岛生态城实业有限公司</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比选</w:t>
      </w:r>
      <w:r>
        <w:rPr>
          <w:rFonts w:ascii="宋体" w:hAnsi="宋体"/>
          <w:snapToGrid w:val="0"/>
          <w:color w:val="auto"/>
          <w:kern w:val="0"/>
          <w:szCs w:val="21"/>
          <w:highlight w:val="none"/>
          <w:u w:val="none"/>
        </w:rPr>
        <w:t>代理机构</w:t>
      </w:r>
      <w:r>
        <w:rPr>
          <w:rFonts w:hint="eastAsia" w:ascii="宋体" w:hAnsi="宋体"/>
          <w:snapToGrid w:val="0"/>
          <w:color w:val="auto"/>
          <w:kern w:val="0"/>
          <w:szCs w:val="21"/>
          <w:highlight w:val="none"/>
          <w:u w:val="none"/>
          <w:lang w:eastAsia="zh-CN"/>
        </w:rPr>
        <w:t>：天之瓴建设股份有限公司</w:t>
      </w:r>
    </w:p>
    <w:p w14:paraId="4885E66E">
      <w:pPr>
        <w:tabs>
          <w:tab w:val="left" w:pos="5140"/>
          <w:tab w:val="left" w:pos="8420"/>
        </w:tabs>
        <w:autoSpaceDE w:val="0"/>
        <w:autoSpaceDN w:val="0"/>
        <w:adjustRightInd w:val="0"/>
        <w:snapToGrid w:val="0"/>
        <w:spacing w:line="450" w:lineRule="exact"/>
        <w:jc w:val="left"/>
        <w:rPr>
          <w:rFonts w:hint="eastAsia" w:ascii="宋体" w:hAnsi="宋体" w:eastAsia="宋体"/>
          <w:snapToGrid w:val="0"/>
          <w:color w:val="auto"/>
          <w:kern w:val="0"/>
          <w:szCs w:val="21"/>
          <w:highlight w:val="none"/>
          <w:u w:val="none"/>
          <w:lang w:eastAsia="zh-CN"/>
        </w:rPr>
      </w:pPr>
      <w:r>
        <w:rPr>
          <w:rFonts w:ascii="宋体" w:hAnsi="宋体"/>
          <w:snapToGrid w:val="0"/>
          <w:color w:val="auto"/>
          <w:kern w:val="0"/>
          <w:szCs w:val="21"/>
          <w:highlight w:val="none"/>
          <w:u w:val="none"/>
        </w:rPr>
        <w:t xml:space="preserve">地址： </w:t>
      </w:r>
      <w:r>
        <w:rPr>
          <w:rFonts w:hint="eastAsia" w:ascii="宋体" w:hAnsi="宋体"/>
          <w:snapToGrid w:val="0"/>
          <w:color w:val="auto"/>
          <w:kern w:val="0"/>
          <w:szCs w:val="21"/>
          <w:highlight w:val="none"/>
          <w:u w:val="none"/>
        </w:rPr>
        <w:t>重庆市南岸区茶园江桥路一号附1号</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地址：</w:t>
      </w:r>
      <w:r>
        <w:rPr>
          <w:rFonts w:hint="eastAsia" w:ascii="宋体" w:hAnsi="宋体"/>
          <w:snapToGrid w:val="0"/>
          <w:color w:val="auto"/>
          <w:kern w:val="0"/>
          <w:szCs w:val="21"/>
          <w:highlight w:val="none"/>
          <w:u w:val="none"/>
        </w:rPr>
        <w:t>重庆市南岸区通江大道214号2栋2单元3-3</w:t>
      </w:r>
    </w:p>
    <w:p w14:paraId="7EDF903D">
      <w:pPr>
        <w:tabs>
          <w:tab w:val="left" w:pos="5140"/>
          <w:tab w:val="left" w:pos="8420"/>
        </w:tabs>
        <w:autoSpaceDE w:val="0"/>
        <w:autoSpaceDN w:val="0"/>
        <w:adjustRightInd w:val="0"/>
        <w:snapToGrid w:val="0"/>
        <w:spacing w:line="450" w:lineRule="exact"/>
        <w:jc w:val="left"/>
        <w:rPr>
          <w:rFonts w:ascii="宋体" w:hAnsi="宋体"/>
          <w:snapToGrid w:val="0"/>
          <w:color w:val="auto"/>
          <w:kern w:val="0"/>
          <w:szCs w:val="21"/>
          <w:highlight w:val="none"/>
          <w:u w:val="none"/>
        </w:rPr>
      </w:pPr>
      <w:r>
        <w:rPr>
          <w:rFonts w:ascii="宋体" w:hAnsi="宋体"/>
          <w:snapToGrid w:val="0"/>
          <w:color w:val="auto"/>
          <w:kern w:val="0"/>
          <w:szCs w:val="21"/>
          <w:highlight w:val="none"/>
          <w:u w:val="none"/>
        </w:rPr>
        <w:t>联系人：</w:t>
      </w:r>
      <w:r>
        <w:rPr>
          <w:rFonts w:hint="eastAsia" w:ascii="宋体" w:hAnsi="宋体"/>
          <w:snapToGrid w:val="0"/>
          <w:color w:val="auto"/>
          <w:kern w:val="0"/>
          <w:szCs w:val="21"/>
          <w:highlight w:val="none"/>
          <w:u w:val="none"/>
          <w:lang w:val="en-US" w:eastAsia="zh-CN"/>
        </w:rPr>
        <w:t>唐菲</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联系人：</w:t>
      </w:r>
      <w:r>
        <w:rPr>
          <w:rFonts w:hint="eastAsia" w:ascii="宋体" w:hAnsi="宋体"/>
          <w:snapToGrid w:val="0"/>
          <w:color w:val="auto"/>
          <w:kern w:val="0"/>
          <w:szCs w:val="21"/>
          <w:highlight w:val="none"/>
          <w:u w:val="none"/>
        </w:rPr>
        <w:t>阳老师</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p>
    <w:p w14:paraId="3ACD6DCA">
      <w:pPr>
        <w:tabs>
          <w:tab w:val="left" w:pos="5140"/>
          <w:tab w:val="left" w:pos="8420"/>
        </w:tabs>
        <w:autoSpaceDE w:val="0"/>
        <w:autoSpaceDN w:val="0"/>
        <w:adjustRightInd w:val="0"/>
        <w:snapToGrid w:val="0"/>
        <w:spacing w:line="450" w:lineRule="exact"/>
        <w:jc w:val="left"/>
        <w:rPr>
          <w:rFonts w:ascii="宋体" w:hAnsi="宋体"/>
          <w:snapToGrid w:val="0"/>
          <w:color w:val="auto"/>
          <w:kern w:val="0"/>
          <w:szCs w:val="21"/>
          <w:highlight w:val="none"/>
          <w:u w:val="none"/>
        </w:rPr>
      </w:pPr>
      <w:r>
        <w:rPr>
          <w:rFonts w:ascii="宋体" w:hAnsi="宋体"/>
          <w:snapToGrid w:val="0"/>
          <w:color w:val="auto"/>
          <w:kern w:val="0"/>
          <w:szCs w:val="21"/>
          <w:highlight w:val="none"/>
          <w:u w:val="none"/>
        </w:rPr>
        <w:t>电</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话：</w:t>
      </w:r>
      <w:r>
        <w:rPr>
          <w:rFonts w:hint="eastAsia" w:ascii="宋体" w:hAnsi="宋体"/>
          <w:snapToGrid w:val="0"/>
          <w:color w:val="auto"/>
          <w:kern w:val="0"/>
          <w:szCs w:val="21"/>
          <w:highlight w:val="none"/>
          <w:u w:val="none"/>
          <w:lang w:val="en-US" w:eastAsia="zh-CN"/>
        </w:rPr>
        <w:t>023-62823880</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电</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话：</w:t>
      </w:r>
      <w:r>
        <w:rPr>
          <w:rFonts w:hint="eastAsia" w:ascii="宋体" w:hAnsi="宋体"/>
          <w:snapToGrid w:val="0"/>
          <w:color w:val="auto"/>
          <w:kern w:val="0"/>
          <w:szCs w:val="21"/>
          <w:highlight w:val="none"/>
          <w:u w:val="none"/>
        </w:rPr>
        <w:t xml:space="preserve">023-62652790  </w:t>
      </w:r>
      <w:r>
        <w:rPr>
          <w:rFonts w:hint="eastAsia" w:ascii="宋体" w:hAnsi="宋体"/>
          <w:snapToGrid w:val="0"/>
          <w:color w:val="auto"/>
          <w:kern w:val="0"/>
          <w:szCs w:val="21"/>
          <w:highlight w:val="none"/>
          <w:u w:val="none"/>
          <w:lang w:eastAsia="zh-CN"/>
        </w:rPr>
        <w:t xml:space="preserve">  </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p>
    <w:p w14:paraId="1FB0A7CF">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38E0ACAC">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37634A56">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3</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5F9AA59">
      <w:pPr>
        <w:pStyle w:val="4"/>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p>
    <w:p w14:paraId="26A9F746">
      <w:pPr>
        <w:pStyle w:val="4"/>
        <w:spacing w:line="360" w:lineRule="auto"/>
        <w:jc w:val="center"/>
        <w:rPr>
          <w:rFonts w:ascii="宋体" w:hAnsi="宋体"/>
          <w:bCs w:val="0"/>
          <w:snapToGrid w:val="0"/>
          <w:color w:val="auto"/>
          <w:kern w:val="0"/>
          <w:highlight w:val="none"/>
        </w:rPr>
      </w:pPr>
      <w:bookmarkStart w:id="110" w:name="_Toc28579"/>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bookmarkEnd w:id="105"/>
      <w:bookmarkEnd w:id="106"/>
      <w:bookmarkEnd w:id="107"/>
      <w:bookmarkEnd w:id="108"/>
      <w:bookmarkEnd w:id="109"/>
      <w:bookmarkEnd w:id="110"/>
      <w:bookmarkStart w:id="111" w:name="_Toc430530433"/>
      <w:bookmarkStart w:id="112" w:name="_Toc224103316"/>
      <w:bookmarkStart w:id="113" w:name="_Toc277082551"/>
      <w:bookmarkStart w:id="114" w:name="_Toc287607745"/>
      <w:bookmarkStart w:id="115" w:name="_Toc287620684"/>
    </w:p>
    <w:p w14:paraId="19554FB7">
      <w:pPr>
        <w:pStyle w:val="5"/>
        <w:spacing w:before="100" w:after="100" w:line="360" w:lineRule="auto"/>
        <w:rPr>
          <w:rFonts w:ascii="宋体" w:hAnsi="宋体"/>
          <w:color w:val="auto"/>
          <w:highlight w:val="none"/>
        </w:rPr>
      </w:pPr>
      <w:bookmarkStart w:id="116" w:name="_Toc509218708"/>
      <w:bookmarkStart w:id="117" w:name="_Toc8005"/>
      <w:bookmarkStart w:id="118" w:name="_Toc31303"/>
      <w:bookmarkStart w:id="119" w:name="_Toc21400"/>
      <w:r>
        <w:rPr>
          <w:rFonts w:hint="eastAsia" w:ascii="宋体" w:hAnsi="宋体"/>
          <w:color w:val="auto"/>
          <w:highlight w:val="none"/>
          <w:lang w:eastAsia="zh-CN"/>
        </w:rPr>
        <w:t>竞选人</w:t>
      </w:r>
      <w:r>
        <w:rPr>
          <w:rFonts w:hint="eastAsia" w:ascii="宋体" w:hAnsi="宋体"/>
          <w:color w:val="auto"/>
          <w:highlight w:val="none"/>
        </w:rPr>
        <w:t>须知前附表</w:t>
      </w:r>
      <w:bookmarkEnd w:id="111"/>
      <w:bookmarkEnd w:id="112"/>
      <w:bookmarkEnd w:id="113"/>
      <w:bookmarkEnd w:id="114"/>
      <w:bookmarkEnd w:id="115"/>
      <w:bookmarkEnd w:id="116"/>
      <w:bookmarkEnd w:id="117"/>
      <w:bookmarkEnd w:id="118"/>
      <w:bookmarkEnd w:id="119"/>
    </w:p>
    <w:p w14:paraId="7D42AFC9">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竞选人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竞选人</w:t>
      </w:r>
      <w:r>
        <w:rPr>
          <w:rFonts w:ascii="宋体" w:hAnsi="宋体"/>
          <w:color w:val="auto"/>
          <w:szCs w:val="21"/>
          <w:highlight w:val="none"/>
        </w:rPr>
        <w:t>须知前附表为准。</w:t>
      </w:r>
    </w:p>
    <w:tbl>
      <w:tblPr>
        <w:tblStyle w:val="48"/>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4D2FC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79CA579D">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73690A57">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71A8EDE3">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4AAF8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123F3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19068A9E">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46FC3C0A">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重庆广阳岛生态城实业有限公司</w:t>
            </w:r>
          </w:p>
          <w:p w14:paraId="1D9133F0">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地址：重庆市南岸区江桥路一号附1号</w:t>
            </w:r>
          </w:p>
          <w:p w14:paraId="38E0A9A3">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eastAsia="zh-CN"/>
              </w:rPr>
              <w:t>唐菲</w:t>
            </w:r>
          </w:p>
          <w:p w14:paraId="4580CB1E">
            <w:pPr>
              <w:spacing w:line="400" w:lineRule="exact"/>
              <w:rPr>
                <w:rFonts w:ascii="宋体" w:hAnsi="宋体"/>
                <w:color w:val="auto"/>
                <w:kern w:val="0"/>
                <w:szCs w:val="21"/>
                <w:highlight w:val="none"/>
              </w:rPr>
            </w:pPr>
            <w:r>
              <w:rPr>
                <w:rFonts w:hint="eastAsia" w:ascii="宋体" w:hAnsi="宋体" w:eastAsia="宋体" w:cs="宋体"/>
                <w:color w:val="auto"/>
                <w:szCs w:val="21"/>
                <w:highlight w:val="none"/>
              </w:rPr>
              <w:t>电话 ：</w:t>
            </w:r>
            <w:r>
              <w:rPr>
                <w:rFonts w:hint="eastAsia" w:ascii="宋体" w:hAnsi="宋体" w:cs="宋体"/>
                <w:color w:val="auto"/>
                <w:szCs w:val="21"/>
                <w:highlight w:val="none"/>
                <w:lang w:eastAsia="zh-CN"/>
              </w:rPr>
              <w:t>023-62823880</w:t>
            </w:r>
            <w:r>
              <w:rPr>
                <w:rFonts w:hint="eastAsia" w:ascii="宋体" w:hAnsi="宋体" w:eastAsia="宋体" w:cs="宋体"/>
                <w:color w:val="auto"/>
                <w:szCs w:val="21"/>
                <w:highlight w:val="none"/>
              </w:rPr>
              <w:t xml:space="preserve">  </w:t>
            </w:r>
          </w:p>
        </w:tc>
      </w:tr>
      <w:tr w14:paraId="4925C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F228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3E6F3380">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比选代理机构</w:t>
            </w:r>
          </w:p>
        </w:tc>
        <w:tc>
          <w:tcPr>
            <w:tcW w:w="6490" w:type="dxa"/>
            <w:vAlign w:val="center"/>
          </w:tcPr>
          <w:p w14:paraId="494A5A39">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 xml:space="preserve">天之瓴建设股份有限公司 </w:t>
            </w:r>
          </w:p>
          <w:p w14:paraId="3AB9B1F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地址：重庆市南岸区通江大道214号2栋2单元3-3</w:t>
            </w:r>
          </w:p>
          <w:p w14:paraId="2495AB75">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snapToGrid w:val="0"/>
                <w:color w:val="auto"/>
                <w:kern w:val="0"/>
                <w:szCs w:val="21"/>
                <w:highlight w:val="none"/>
                <w:u w:val="none"/>
                <w:lang w:eastAsia="zh-CN"/>
              </w:rPr>
              <w:t xml:space="preserve">阳老师 </w:t>
            </w:r>
            <w:r>
              <w:rPr>
                <w:rFonts w:ascii="宋体" w:hAnsi="宋体"/>
                <w:snapToGrid w:val="0"/>
                <w:color w:val="auto"/>
                <w:kern w:val="0"/>
                <w:szCs w:val="21"/>
                <w:highlight w:val="none"/>
                <w:u w:val="none"/>
              </w:rPr>
              <w:t xml:space="preserve"> </w:t>
            </w:r>
          </w:p>
          <w:p w14:paraId="173D4EC2">
            <w:pPr>
              <w:spacing w:line="400" w:lineRule="exact"/>
              <w:rPr>
                <w:rFonts w:hint="eastAsia" w:ascii="宋体" w:hAnsi="宋体" w:eastAsia="宋体"/>
                <w:color w:val="auto"/>
                <w:kern w:val="0"/>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 xml:space="preserve">023-62652790      </w:t>
            </w:r>
          </w:p>
        </w:tc>
      </w:tr>
      <w:tr w14:paraId="7C1DD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57AD7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5F9FA3B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25FD36DB">
            <w:pPr>
              <w:snapToGrid w:val="0"/>
              <w:spacing w:line="400" w:lineRule="exact"/>
              <w:jc w:val="left"/>
              <w:rPr>
                <w:rFonts w:hint="eastAsia" w:ascii="宋体" w:hAnsi="宋体" w:eastAsia="宋体"/>
                <w:color w:val="auto"/>
                <w:szCs w:val="21"/>
                <w:highlight w:val="none"/>
                <w:lang w:eastAsia="zh-CN"/>
              </w:rPr>
            </w:pPr>
            <w:bookmarkStart w:id="120" w:name="OLE_LINK9"/>
            <w:r>
              <w:rPr>
                <w:rFonts w:hint="eastAsia" w:ascii="宋体" w:hAnsi="宋体"/>
                <w:color w:val="auto"/>
                <w:szCs w:val="21"/>
                <w:highlight w:val="none"/>
                <w:lang w:val="en-US" w:eastAsia="zh-CN"/>
              </w:rPr>
              <w:t>迎龙小院保安、保洁、维修服务及会议服务</w:t>
            </w:r>
            <w:r>
              <w:rPr>
                <w:rFonts w:hint="eastAsia" w:ascii="宋体" w:hAnsi="宋体"/>
                <w:color w:val="auto"/>
                <w:szCs w:val="21"/>
                <w:highlight w:val="none"/>
                <w:lang w:eastAsia="zh-CN"/>
              </w:rPr>
              <w:t xml:space="preserve">  </w:t>
            </w:r>
            <w:bookmarkEnd w:id="120"/>
          </w:p>
        </w:tc>
      </w:tr>
      <w:tr w14:paraId="7133B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00F0D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24A66BB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服务地点</w:t>
            </w:r>
          </w:p>
        </w:tc>
        <w:tc>
          <w:tcPr>
            <w:tcW w:w="6490" w:type="dxa"/>
            <w:vAlign w:val="center"/>
          </w:tcPr>
          <w:p w14:paraId="613EF3FA">
            <w:pPr>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rPr>
              <w:t>重庆</w:t>
            </w:r>
            <w:r>
              <w:rPr>
                <w:rFonts w:hint="eastAsia" w:ascii="宋体" w:hAnsi="宋体"/>
                <w:snapToGrid w:val="0"/>
                <w:color w:val="auto"/>
                <w:kern w:val="0"/>
                <w:szCs w:val="21"/>
                <w:highlight w:val="none"/>
                <w:lang w:val="en-US" w:eastAsia="zh-CN"/>
              </w:rPr>
              <w:t>经开区</w:t>
            </w:r>
            <w:r>
              <w:rPr>
                <w:rFonts w:hint="eastAsia" w:ascii="宋体" w:hAnsi="宋体"/>
                <w:snapToGrid w:val="0"/>
                <w:color w:val="auto"/>
                <w:kern w:val="0"/>
                <w:szCs w:val="21"/>
                <w:highlight w:val="none"/>
                <w:u w:val="none"/>
                <w:lang w:eastAsia="zh-CN"/>
              </w:rPr>
              <w:t>。</w:t>
            </w:r>
          </w:p>
        </w:tc>
      </w:tr>
      <w:tr w14:paraId="08EF2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313D4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2FDC1C2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2461D8DD">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p>
        </w:tc>
      </w:tr>
      <w:tr w14:paraId="33F37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A37A6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4133ED5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1FC67308">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6FC2B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425E9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4332BA6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28846C73">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51C2A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D6552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4CC9CB2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比选</w:t>
            </w:r>
            <w:r>
              <w:rPr>
                <w:rFonts w:ascii="宋体" w:hAnsi="宋体"/>
                <w:color w:val="auto"/>
                <w:kern w:val="0"/>
                <w:szCs w:val="21"/>
                <w:highlight w:val="none"/>
              </w:rPr>
              <w:t>范围</w:t>
            </w:r>
          </w:p>
        </w:tc>
        <w:tc>
          <w:tcPr>
            <w:tcW w:w="6490" w:type="dxa"/>
            <w:vAlign w:val="center"/>
          </w:tcPr>
          <w:p w14:paraId="640F7F6E">
            <w:pPr>
              <w:snapToGrid w:val="0"/>
              <w:spacing w:line="400" w:lineRule="exact"/>
              <w:ind w:firstLine="420" w:firstLineChars="200"/>
              <w:rPr>
                <w:rFonts w:ascii="宋体" w:hAnsi="宋体"/>
                <w:i/>
                <w:color w:val="auto"/>
                <w:szCs w:val="21"/>
                <w:highlight w:val="none"/>
              </w:rPr>
            </w:pPr>
            <w:r>
              <w:rPr>
                <w:rFonts w:hint="eastAsia" w:ascii="宋体" w:hAnsi="宋体" w:eastAsia="宋体"/>
                <w:snapToGrid w:val="0"/>
                <w:color w:val="auto"/>
                <w:kern w:val="0"/>
                <w:szCs w:val="21"/>
                <w:highlight w:val="none"/>
                <w:lang w:val="en-US" w:eastAsia="zh-CN"/>
              </w:rPr>
              <w:t>提供迎龙小院保安、保洁</w:t>
            </w:r>
            <w:r>
              <w:rPr>
                <w:rFonts w:hint="eastAsia" w:ascii="宋体" w:hAnsi="宋体"/>
                <w:snapToGrid w:val="0"/>
                <w:color w:val="auto"/>
                <w:kern w:val="0"/>
                <w:szCs w:val="21"/>
                <w:highlight w:val="none"/>
                <w:lang w:val="en-US" w:eastAsia="zh-CN"/>
              </w:rPr>
              <w:t>、</w:t>
            </w:r>
            <w:r>
              <w:rPr>
                <w:rFonts w:hint="eastAsia" w:ascii="宋体" w:hAnsi="宋体" w:eastAsia="宋体"/>
                <w:snapToGrid w:val="0"/>
                <w:color w:val="auto"/>
                <w:kern w:val="0"/>
                <w:szCs w:val="21"/>
                <w:highlight w:val="none"/>
                <w:lang w:val="en-US" w:eastAsia="zh-CN"/>
              </w:rPr>
              <w:t>维修服务及会议服务</w:t>
            </w:r>
            <w:r>
              <w:rPr>
                <w:rFonts w:hint="eastAsia" w:ascii="宋体" w:hAnsi="宋体"/>
                <w:snapToGrid w:val="0"/>
                <w:color w:val="auto"/>
                <w:kern w:val="0"/>
                <w:szCs w:val="21"/>
                <w:highlight w:val="none"/>
                <w:lang w:val="en-US" w:eastAsia="zh-CN"/>
              </w:rPr>
              <w:t>等服务合同所涉及的全部内容</w:t>
            </w:r>
            <w:r>
              <w:rPr>
                <w:rFonts w:hint="eastAsia" w:ascii="宋体" w:hAnsi="宋体" w:eastAsia="宋体"/>
                <w:snapToGrid w:val="0"/>
                <w:color w:val="auto"/>
                <w:kern w:val="0"/>
                <w:szCs w:val="21"/>
                <w:highlight w:val="none"/>
                <w:lang w:val="en-US" w:eastAsia="zh-CN"/>
              </w:rPr>
              <w:t>，服务团队配置要求如下:保安4名，保洁3名，维修1名，会务2名</w:t>
            </w:r>
            <w:r>
              <w:rPr>
                <w:rFonts w:hint="eastAsia" w:ascii="宋体" w:hAnsi="宋体" w:eastAsia="宋体"/>
                <w:b/>
                <w:bCs/>
                <w:snapToGrid w:val="0"/>
                <w:color w:val="auto"/>
                <w:kern w:val="0"/>
                <w:szCs w:val="21"/>
                <w:highlight w:val="none"/>
                <w:lang w:val="en-US" w:eastAsia="zh-CN"/>
              </w:rPr>
              <w:t>(各岗位人员要求及工作标准详情见</w:t>
            </w:r>
            <w:r>
              <w:rPr>
                <w:rFonts w:hint="eastAsia" w:ascii="宋体" w:hAnsi="宋体"/>
                <w:b/>
                <w:bCs/>
                <w:snapToGrid w:val="0"/>
                <w:color w:val="auto"/>
                <w:kern w:val="0"/>
                <w:szCs w:val="21"/>
                <w:highlight w:val="none"/>
                <w:lang w:val="en-US" w:eastAsia="zh-CN"/>
              </w:rPr>
              <w:t>第五章</w:t>
            </w:r>
            <w:r>
              <w:rPr>
                <w:rFonts w:hint="eastAsia" w:ascii="宋体" w:hAnsi="宋体" w:eastAsia="宋体"/>
                <w:b/>
                <w:bCs/>
                <w:snapToGrid w:val="0"/>
                <w:color w:val="auto"/>
                <w:kern w:val="0"/>
                <w:szCs w:val="21"/>
                <w:highlight w:val="none"/>
                <w:lang w:val="en-US" w:eastAsia="zh-CN"/>
              </w:rPr>
              <w:t>）</w:t>
            </w:r>
            <w:r>
              <w:rPr>
                <w:rFonts w:hint="eastAsia" w:ascii="宋体" w:hAnsi="宋体" w:cs="Times New Roman"/>
                <w:snapToGrid w:val="0"/>
                <w:color w:val="auto"/>
                <w:kern w:val="0"/>
                <w:szCs w:val="21"/>
                <w:highlight w:val="none"/>
                <w:lang w:val="en-US" w:eastAsia="zh-CN"/>
              </w:rPr>
              <w:t>。</w:t>
            </w:r>
          </w:p>
        </w:tc>
      </w:tr>
      <w:tr w14:paraId="6D36C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CC8F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33569781">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计划服务期</w:t>
            </w:r>
          </w:p>
        </w:tc>
        <w:tc>
          <w:tcPr>
            <w:tcW w:w="6490" w:type="dxa"/>
            <w:vAlign w:val="center"/>
          </w:tcPr>
          <w:p w14:paraId="3DE90D77">
            <w:pPr>
              <w:snapToGrid w:val="0"/>
              <w:spacing w:line="400" w:lineRule="exact"/>
              <w:ind w:firstLine="420" w:firstLineChars="200"/>
              <w:rPr>
                <w:rFonts w:hint="default" w:ascii="宋体" w:hAnsi="宋体"/>
                <w:color w:val="auto"/>
                <w:kern w:val="0"/>
                <w:szCs w:val="21"/>
                <w:highlight w:val="none"/>
                <w:lang w:val="en-US"/>
              </w:rPr>
            </w:pPr>
            <w:r>
              <w:rPr>
                <w:rFonts w:hint="eastAsia" w:ascii="宋体" w:hAnsi="宋体"/>
                <w:snapToGrid w:val="0"/>
                <w:color w:val="auto"/>
                <w:kern w:val="0"/>
                <w:szCs w:val="21"/>
                <w:highlight w:val="none"/>
                <w:lang w:val="en-US" w:eastAsia="zh-CN"/>
              </w:rPr>
              <w:t>10个月，</w:t>
            </w:r>
            <w:r>
              <w:rPr>
                <w:rFonts w:hint="eastAsia" w:ascii="宋体" w:hAnsi="宋体"/>
                <w:snapToGrid w:val="0"/>
                <w:color w:val="0000FF"/>
                <w:kern w:val="0"/>
                <w:szCs w:val="21"/>
                <w:highlight w:val="none"/>
                <w:lang w:val="en-US" w:eastAsia="zh-CN"/>
              </w:rPr>
              <w:t>从中标通知书下发之日起。</w:t>
            </w:r>
          </w:p>
        </w:tc>
      </w:tr>
      <w:tr w14:paraId="00EC6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EB143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36310D5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45E6334D">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满足国家、重庆市相关法规、行业规范的要求。</w:t>
            </w:r>
          </w:p>
        </w:tc>
      </w:tr>
      <w:tr w14:paraId="699C0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79CC61F8">
            <w:pPr>
              <w:snapToGrid w:val="0"/>
              <w:spacing w:line="400" w:lineRule="exact"/>
              <w:jc w:val="center"/>
              <w:rPr>
                <w:rFonts w:ascii="宋体" w:hAnsi="宋体"/>
                <w:color w:val="auto"/>
                <w:kern w:val="0"/>
                <w:szCs w:val="21"/>
                <w:highlight w:val="none"/>
              </w:rPr>
            </w:pPr>
          </w:p>
          <w:p w14:paraId="7B124490">
            <w:pPr>
              <w:snapToGrid w:val="0"/>
              <w:spacing w:line="400" w:lineRule="exact"/>
              <w:jc w:val="center"/>
              <w:rPr>
                <w:rFonts w:ascii="宋体" w:hAnsi="宋体"/>
                <w:color w:val="auto"/>
                <w:kern w:val="0"/>
                <w:szCs w:val="21"/>
                <w:highlight w:val="none"/>
              </w:rPr>
            </w:pPr>
          </w:p>
          <w:p w14:paraId="61F4767A">
            <w:pPr>
              <w:snapToGrid w:val="0"/>
              <w:spacing w:line="400" w:lineRule="exact"/>
              <w:jc w:val="center"/>
              <w:rPr>
                <w:rFonts w:ascii="宋体" w:hAnsi="宋体"/>
                <w:color w:val="auto"/>
                <w:kern w:val="0"/>
                <w:szCs w:val="21"/>
                <w:highlight w:val="none"/>
              </w:rPr>
            </w:pPr>
          </w:p>
          <w:p w14:paraId="2BBD4A98">
            <w:pPr>
              <w:snapToGrid w:val="0"/>
              <w:spacing w:line="400" w:lineRule="exact"/>
              <w:jc w:val="center"/>
              <w:rPr>
                <w:rFonts w:ascii="宋体" w:hAnsi="宋体"/>
                <w:color w:val="auto"/>
                <w:kern w:val="0"/>
                <w:szCs w:val="21"/>
                <w:highlight w:val="none"/>
              </w:rPr>
            </w:pPr>
          </w:p>
          <w:p w14:paraId="511B5DE5">
            <w:pPr>
              <w:snapToGrid w:val="0"/>
              <w:spacing w:line="400" w:lineRule="exact"/>
              <w:jc w:val="center"/>
              <w:rPr>
                <w:rFonts w:ascii="宋体" w:hAnsi="宋体"/>
                <w:color w:val="auto"/>
                <w:kern w:val="0"/>
                <w:szCs w:val="21"/>
                <w:highlight w:val="none"/>
              </w:rPr>
            </w:pPr>
          </w:p>
          <w:p w14:paraId="7FEE5AF0">
            <w:pPr>
              <w:snapToGrid w:val="0"/>
              <w:spacing w:line="400" w:lineRule="exact"/>
              <w:jc w:val="center"/>
              <w:rPr>
                <w:rFonts w:ascii="宋体" w:hAnsi="宋体"/>
                <w:color w:val="auto"/>
                <w:kern w:val="0"/>
                <w:szCs w:val="21"/>
                <w:highlight w:val="none"/>
              </w:rPr>
            </w:pPr>
          </w:p>
          <w:p w14:paraId="74D5E68B">
            <w:pPr>
              <w:snapToGrid w:val="0"/>
              <w:spacing w:line="400" w:lineRule="exact"/>
              <w:jc w:val="center"/>
              <w:rPr>
                <w:rFonts w:ascii="宋体" w:hAnsi="宋体"/>
                <w:color w:val="auto"/>
                <w:kern w:val="0"/>
                <w:szCs w:val="21"/>
                <w:highlight w:val="none"/>
              </w:rPr>
            </w:pPr>
          </w:p>
          <w:p w14:paraId="0087B8AF">
            <w:pPr>
              <w:snapToGrid w:val="0"/>
              <w:spacing w:line="400" w:lineRule="exact"/>
              <w:jc w:val="center"/>
              <w:rPr>
                <w:rFonts w:ascii="宋体" w:hAnsi="宋体"/>
                <w:color w:val="auto"/>
                <w:kern w:val="0"/>
                <w:szCs w:val="21"/>
                <w:highlight w:val="none"/>
              </w:rPr>
            </w:pPr>
          </w:p>
          <w:p w14:paraId="68A35A79">
            <w:pPr>
              <w:snapToGrid w:val="0"/>
              <w:spacing w:line="400" w:lineRule="exact"/>
              <w:jc w:val="center"/>
              <w:rPr>
                <w:rFonts w:ascii="宋体" w:hAnsi="宋体"/>
                <w:color w:val="auto"/>
                <w:kern w:val="0"/>
                <w:szCs w:val="21"/>
                <w:highlight w:val="none"/>
              </w:rPr>
            </w:pPr>
          </w:p>
          <w:p w14:paraId="54873F4D">
            <w:pPr>
              <w:snapToGrid w:val="0"/>
              <w:spacing w:line="400" w:lineRule="exact"/>
              <w:jc w:val="center"/>
              <w:rPr>
                <w:rFonts w:ascii="宋体" w:hAnsi="宋体"/>
                <w:color w:val="auto"/>
                <w:kern w:val="0"/>
                <w:szCs w:val="21"/>
                <w:highlight w:val="none"/>
              </w:rPr>
            </w:pPr>
          </w:p>
          <w:p w14:paraId="110FB9F1">
            <w:pPr>
              <w:snapToGrid w:val="0"/>
              <w:spacing w:line="400" w:lineRule="exact"/>
              <w:jc w:val="center"/>
              <w:rPr>
                <w:rFonts w:ascii="宋体" w:hAnsi="宋体"/>
                <w:color w:val="auto"/>
                <w:kern w:val="0"/>
                <w:szCs w:val="21"/>
                <w:highlight w:val="none"/>
              </w:rPr>
            </w:pPr>
          </w:p>
          <w:p w14:paraId="5E8308B7">
            <w:pPr>
              <w:snapToGrid w:val="0"/>
              <w:spacing w:line="400" w:lineRule="exact"/>
              <w:jc w:val="center"/>
              <w:rPr>
                <w:rFonts w:ascii="宋体" w:hAnsi="宋体"/>
                <w:color w:val="auto"/>
                <w:kern w:val="0"/>
                <w:szCs w:val="21"/>
                <w:highlight w:val="none"/>
              </w:rPr>
            </w:pPr>
          </w:p>
          <w:p w14:paraId="4E06D461">
            <w:pPr>
              <w:snapToGrid w:val="0"/>
              <w:spacing w:line="400" w:lineRule="exact"/>
              <w:jc w:val="center"/>
              <w:rPr>
                <w:rFonts w:ascii="宋体" w:hAnsi="宋体"/>
                <w:color w:val="auto"/>
                <w:kern w:val="0"/>
                <w:szCs w:val="21"/>
                <w:highlight w:val="none"/>
              </w:rPr>
            </w:pPr>
          </w:p>
          <w:p w14:paraId="3C84B57C">
            <w:pPr>
              <w:snapToGrid w:val="0"/>
              <w:spacing w:line="400" w:lineRule="exact"/>
              <w:jc w:val="center"/>
              <w:rPr>
                <w:rFonts w:ascii="宋体" w:hAnsi="宋体"/>
                <w:color w:val="auto"/>
                <w:kern w:val="0"/>
                <w:szCs w:val="21"/>
                <w:highlight w:val="none"/>
              </w:rPr>
            </w:pPr>
          </w:p>
          <w:p w14:paraId="2F3F3B42">
            <w:pPr>
              <w:snapToGrid w:val="0"/>
              <w:spacing w:line="400" w:lineRule="exact"/>
              <w:jc w:val="center"/>
              <w:rPr>
                <w:rFonts w:ascii="宋体" w:hAnsi="宋体"/>
                <w:color w:val="auto"/>
                <w:kern w:val="0"/>
                <w:szCs w:val="21"/>
                <w:highlight w:val="none"/>
              </w:rPr>
            </w:pPr>
          </w:p>
          <w:p w14:paraId="65CE6625">
            <w:pPr>
              <w:snapToGrid w:val="0"/>
              <w:spacing w:line="400" w:lineRule="exact"/>
              <w:jc w:val="center"/>
              <w:rPr>
                <w:rFonts w:ascii="宋体" w:hAnsi="宋体"/>
                <w:color w:val="auto"/>
                <w:kern w:val="0"/>
                <w:szCs w:val="21"/>
                <w:highlight w:val="none"/>
              </w:rPr>
            </w:pPr>
          </w:p>
          <w:p w14:paraId="19A8C0BE">
            <w:pPr>
              <w:snapToGrid w:val="0"/>
              <w:spacing w:line="400" w:lineRule="exact"/>
              <w:jc w:val="center"/>
              <w:rPr>
                <w:rFonts w:ascii="宋体" w:hAnsi="宋体"/>
                <w:color w:val="auto"/>
                <w:kern w:val="0"/>
                <w:szCs w:val="21"/>
                <w:highlight w:val="none"/>
              </w:rPr>
            </w:pPr>
          </w:p>
          <w:p w14:paraId="7351C7D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31C1AEA7">
            <w:pPr>
              <w:snapToGrid w:val="0"/>
              <w:spacing w:line="400" w:lineRule="exact"/>
              <w:jc w:val="center"/>
              <w:rPr>
                <w:rFonts w:ascii="宋体" w:hAnsi="宋体"/>
                <w:color w:val="auto"/>
                <w:kern w:val="0"/>
                <w:szCs w:val="21"/>
                <w:highlight w:val="none"/>
              </w:rPr>
            </w:pPr>
          </w:p>
          <w:p w14:paraId="1F874922">
            <w:pPr>
              <w:snapToGrid w:val="0"/>
              <w:spacing w:line="400" w:lineRule="exact"/>
              <w:jc w:val="center"/>
              <w:rPr>
                <w:rFonts w:ascii="宋体" w:hAnsi="宋体"/>
                <w:color w:val="auto"/>
                <w:kern w:val="0"/>
                <w:szCs w:val="21"/>
                <w:highlight w:val="none"/>
              </w:rPr>
            </w:pPr>
          </w:p>
          <w:p w14:paraId="268C75D4">
            <w:pPr>
              <w:snapToGrid w:val="0"/>
              <w:spacing w:line="400" w:lineRule="exact"/>
              <w:jc w:val="center"/>
              <w:rPr>
                <w:rFonts w:ascii="宋体" w:hAnsi="宋体"/>
                <w:color w:val="auto"/>
                <w:kern w:val="0"/>
                <w:szCs w:val="21"/>
                <w:highlight w:val="none"/>
              </w:rPr>
            </w:pPr>
          </w:p>
          <w:p w14:paraId="26DD2105">
            <w:pPr>
              <w:snapToGrid w:val="0"/>
              <w:spacing w:line="400" w:lineRule="exact"/>
              <w:jc w:val="center"/>
              <w:rPr>
                <w:rFonts w:ascii="宋体" w:hAnsi="宋体"/>
                <w:color w:val="auto"/>
                <w:kern w:val="0"/>
                <w:szCs w:val="21"/>
                <w:highlight w:val="none"/>
              </w:rPr>
            </w:pPr>
          </w:p>
          <w:p w14:paraId="7E10109B">
            <w:pPr>
              <w:snapToGrid w:val="0"/>
              <w:spacing w:line="400" w:lineRule="exact"/>
              <w:jc w:val="center"/>
              <w:rPr>
                <w:rFonts w:ascii="宋体" w:hAnsi="宋体"/>
                <w:color w:val="auto"/>
                <w:kern w:val="0"/>
                <w:szCs w:val="21"/>
                <w:highlight w:val="none"/>
              </w:rPr>
            </w:pPr>
          </w:p>
          <w:p w14:paraId="3871A9FF">
            <w:pPr>
              <w:snapToGrid w:val="0"/>
              <w:spacing w:line="400" w:lineRule="exact"/>
              <w:jc w:val="center"/>
              <w:rPr>
                <w:rFonts w:ascii="宋体" w:hAnsi="宋体"/>
                <w:color w:val="auto"/>
                <w:kern w:val="0"/>
                <w:szCs w:val="21"/>
                <w:highlight w:val="none"/>
              </w:rPr>
            </w:pPr>
          </w:p>
          <w:p w14:paraId="5087BA99">
            <w:pPr>
              <w:snapToGrid w:val="0"/>
              <w:spacing w:line="400" w:lineRule="exact"/>
              <w:jc w:val="both"/>
              <w:rPr>
                <w:rFonts w:ascii="宋体" w:hAnsi="宋体"/>
                <w:color w:val="auto"/>
                <w:kern w:val="0"/>
                <w:szCs w:val="21"/>
                <w:highlight w:val="none"/>
              </w:rPr>
            </w:pPr>
          </w:p>
        </w:tc>
        <w:tc>
          <w:tcPr>
            <w:tcW w:w="1644" w:type="dxa"/>
            <w:vAlign w:val="center"/>
          </w:tcPr>
          <w:p w14:paraId="50BC92AC">
            <w:pPr>
              <w:snapToGrid w:val="0"/>
              <w:spacing w:line="400" w:lineRule="exact"/>
              <w:jc w:val="center"/>
              <w:rPr>
                <w:rFonts w:ascii="宋体" w:hAnsi="宋体"/>
                <w:color w:val="auto"/>
                <w:kern w:val="0"/>
                <w:szCs w:val="21"/>
                <w:highlight w:val="none"/>
              </w:rPr>
            </w:pPr>
          </w:p>
          <w:p w14:paraId="42AD760D">
            <w:pPr>
              <w:snapToGrid w:val="0"/>
              <w:spacing w:line="400" w:lineRule="exact"/>
              <w:jc w:val="center"/>
              <w:rPr>
                <w:rFonts w:ascii="宋体" w:hAnsi="宋体"/>
                <w:color w:val="auto"/>
                <w:kern w:val="0"/>
                <w:szCs w:val="21"/>
                <w:highlight w:val="none"/>
              </w:rPr>
            </w:pPr>
          </w:p>
          <w:p w14:paraId="676A9356">
            <w:pPr>
              <w:snapToGrid w:val="0"/>
              <w:spacing w:line="400" w:lineRule="exact"/>
              <w:jc w:val="center"/>
              <w:rPr>
                <w:rFonts w:ascii="宋体" w:hAnsi="宋体"/>
                <w:color w:val="auto"/>
                <w:kern w:val="0"/>
                <w:szCs w:val="21"/>
                <w:highlight w:val="none"/>
              </w:rPr>
            </w:pPr>
          </w:p>
          <w:p w14:paraId="242E21A0">
            <w:pPr>
              <w:snapToGrid w:val="0"/>
              <w:spacing w:line="400" w:lineRule="exact"/>
              <w:jc w:val="center"/>
              <w:rPr>
                <w:rFonts w:ascii="宋体" w:hAnsi="宋体"/>
                <w:color w:val="auto"/>
                <w:kern w:val="0"/>
                <w:szCs w:val="21"/>
                <w:highlight w:val="none"/>
              </w:rPr>
            </w:pPr>
          </w:p>
          <w:p w14:paraId="16A42834">
            <w:pPr>
              <w:snapToGrid w:val="0"/>
              <w:spacing w:line="400" w:lineRule="exact"/>
              <w:jc w:val="center"/>
              <w:rPr>
                <w:rFonts w:ascii="宋体" w:hAnsi="宋体"/>
                <w:color w:val="auto"/>
                <w:kern w:val="0"/>
                <w:szCs w:val="21"/>
                <w:highlight w:val="none"/>
              </w:rPr>
            </w:pPr>
          </w:p>
          <w:p w14:paraId="4D562BC2">
            <w:pPr>
              <w:snapToGrid w:val="0"/>
              <w:spacing w:line="400" w:lineRule="exact"/>
              <w:jc w:val="center"/>
              <w:rPr>
                <w:rFonts w:ascii="宋体" w:hAnsi="宋体"/>
                <w:color w:val="auto"/>
                <w:kern w:val="0"/>
                <w:szCs w:val="21"/>
                <w:highlight w:val="none"/>
              </w:rPr>
            </w:pPr>
          </w:p>
          <w:p w14:paraId="5C41038C">
            <w:pPr>
              <w:snapToGrid w:val="0"/>
              <w:spacing w:line="400" w:lineRule="exact"/>
              <w:jc w:val="center"/>
              <w:rPr>
                <w:rFonts w:ascii="宋体" w:hAnsi="宋体"/>
                <w:color w:val="auto"/>
                <w:kern w:val="0"/>
                <w:szCs w:val="21"/>
                <w:highlight w:val="none"/>
              </w:rPr>
            </w:pPr>
          </w:p>
          <w:p w14:paraId="20393379">
            <w:pPr>
              <w:snapToGrid w:val="0"/>
              <w:spacing w:line="400" w:lineRule="exact"/>
              <w:jc w:val="center"/>
              <w:rPr>
                <w:rFonts w:ascii="宋体" w:hAnsi="宋体"/>
                <w:color w:val="auto"/>
                <w:kern w:val="0"/>
                <w:szCs w:val="21"/>
                <w:highlight w:val="none"/>
              </w:rPr>
            </w:pPr>
          </w:p>
          <w:p w14:paraId="14044B69">
            <w:pPr>
              <w:snapToGrid w:val="0"/>
              <w:spacing w:line="400" w:lineRule="exact"/>
              <w:jc w:val="center"/>
              <w:rPr>
                <w:rFonts w:ascii="宋体" w:hAnsi="宋体"/>
                <w:color w:val="auto"/>
                <w:kern w:val="0"/>
                <w:szCs w:val="21"/>
                <w:highlight w:val="none"/>
              </w:rPr>
            </w:pPr>
          </w:p>
          <w:p w14:paraId="4726447B">
            <w:pPr>
              <w:snapToGrid w:val="0"/>
              <w:spacing w:line="400" w:lineRule="exact"/>
              <w:jc w:val="center"/>
              <w:rPr>
                <w:rFonts w:ascii="宋体" w:hAnsi="宋体"/>
                <w:color w:val="auto"/>
                <w:kern w:val="0"/>
                <w:szCs w:val="21"/>
                <w:highlight w:val="none"/>
              </w:rPr>
            </w:pPr>
          </w:p>
          <w:p w14:paraId="336A4505">
            <w:pPr>
              <w:snapToGrid w:val="0"/>
              <w:spacing w:line="400" w:lineRule="exact"/>
              <w:jc w:val="center"/>
              <w:rPr>
                <w:rFonts w:ascii="宋体" w:hAnsi="宋体"/>
                <w:color w:val="auto"/>
                <w:kern w:val="0"/>
                <w:szCs w:val="21"/>
                <w:highlight w:val="none"/>
              </w:rPr>
            </w:pPr>
          </w:p>
          <w:p w14:paraId="48D26054">
            <w:pPr>
              <w:snapToGrid w:val="0"/>
              <w:spacing w:line="400" w:lineRule="exact"/>
              <w:jc w:val="center"/>
              <w:rPr>
                <w:rFonts w:ascii="宋体" w:hAnsi="宋体"/>
                <w:color w:val="auto"/>
                <w:kern w:val="0"/>
                <w:szCs w:val="21"/>
                <w:highlight w:val="none"/>
              </w:rPr>
            </w:pPr>
          </w:p>
          <w:p w14:paraId="09E084EE">
            <w:pPr>
              <w:snapToGrid w:val="0"/>
              <w:spacing w:line="400" w:lineRule="exact"/>
              <w:jc w:val="center"/>
              <w:rPr>
                <w:rFonts w:ascii="宋体" w:hAnsi="宋体"/>
                <w:color w:val="auto"/>
                <w:kern w:val="0"/>
                <w:szCs w:val="21"/>
                <w:highlight w:val="none"/>
              </w:rPr>
            </w:pPr>
          </w:p>
          <w:p w14:paraId="4FA9B5F1">
            <w:pPr>
              <w:snapToGrid w:val="0"/>
              <w:spacing w:line="400" w:lineRule="exact"/>
              <w:jc w:val="center"/>
              <w:rPr>
                <w:rFonts w:ascii="宋体" w:hAnsi="宋体"/>
                <w:color w:val="auto"/>
                <w:kern w:val="0"/>
                <w:szCs w:val="21"/>
                <w:highlight w:val="none"/>
              </w:rPr>
            </w:pPr>
          </w:p>
          <w:p w14:paraId="0A1C0EE2">
            <w:pPr>
              <w:snapToGrid w:val="0"/>
              <w:spacing w:line="400" w:lineRule="exact"/>
              <w:jc w:val="center"/>
              <w:rPr>
                <w:rFonts w:ascii="宋体" w:hAnsi="宋体"/>
                <w:color w:val="auto"/>
                <w:kern w:val="0"/>
                <w:szCs w:val="21"/>
                <w:highlight w:val="none"/>
              </w:rPr>
            </w:pPr>
          </w:p>
          <w:p w14:paraId="61D7486E">
            <w:pPr>
              <w:snapToGrid w:val="0"/>
              <w:spacing w:line="400" w:lineRule="exact"/>
              <w:jc w:val="center"/>
              <w:rPr>
                <w:rFonts w:ascii="宋体" w:hAnsi="宋体"/>
                <w:color w:val="auto"/>
                <w:kern w:val="0"/>
                <w:szCs w:val="21"/>
                <w:highlight w:val="none"/>
              </w:rPr>
            </w:pPr>
          </w:p>
          <w:p w14:paraId="4ED97D33">
            <w:pPr>
              <w:snapToGrid w:val="0"/>
              <w:spacing w:line="400" w:lineRule="exact"/>
              <w:jc w:val="center"/>
              <w:rPr>
                <w:rFonts w:ascii="宋体" w:hAnsi="宋体"/>
                <w:color w:val="auto"/>
                <w:kern w:val="0"/>
                <w:szCs w:val="21"/>
                <w:highlight w:val="none"/>
              </w:rPr>
            </w:pPr>
          </w:p>
          <w:p w14:paraId="484C66B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资质条件、能力和信誉</w:t>
            </w:r>
          </w:p>
          <w:p w14:paraId="4C2C4425">
            <w:pPr>
              <w:snapToGrid w:val="0"/>
              <w:spacing w:line="400" w:lineRule="exact"/>
              <w:jc w:val="center"/>
              <w:rPr>
                <w:rFonts w:ascii="宋体" w:hAnsi="宋体"/>
                <w:color w:val="auto"/>
                <w:kern w:val="0"/>
                <w:szCs w:val="21"/>
                <w:highlight w:val="none"/>
              </w:rPr>
            </w:pPr>
          </w:p>
          <w:p w14:paraId="3A03D088">
            <w:pPr>
              <w:snapToGrid w:val="0"/>
              <w:spacing w:line="400" w:lineRule="exact"/>
              <w:jc w:val="center"/>
              <w:rPr>
                <w:rFonts w:ascii="宋体" w:hAnsi="宋体"/>
                <w:color w:val="auto"/>
                <w:kern w:val="0"/>
                <w:szCs w:val="21"/>
                <w:highlight w:val="none"/>
              </w:rPr>
            </w:pPr>
          </w:p>
          <w:p w14:paraId="063745CB">
            <w:pPr>
              <w:snapToGrid w:val="0"/>
              <w:spacing w:line="400" w:lineRule="exact"/>
              <w:jc w:val="center"/>
              <w:rPr>
                <w:rFonts w:ascii="宋体" w:hAnsi="宋体"/>
                <w:color w:val="auto"/>
                <w:kern w:val="0"/>
                <w:szCs w:val="21"/>
                <w:highlight w:val="none"/>
              </w:rPr>
            </w:pPr>
          </w:p>
          <w:p w14:paraId="6447FA3A">
            <w:pPr>
              <w:snapToGrid w:val="0"/>
              <w:spacing w:line="400" w:lineRule="exact"/>
              <w:jc w:val="center"/>
              <w:rPr>
                <w:rFonts w:ascii="宋体" w:hAnsi="宋体"/>
                <w:color w:val="auto"/>
                <w:kern w:val="0"/>
                <w:szCs w:val="21"/>
                <w:highlight w:val="none"/>
              </w:rPr>
            </w:pPr>
          </w:p>
          <w:p w14:paraId="392B1A63">
            <w:pPr>
              <w:snapToGrid w:val="0"/>
              <w:spacing w:line="400" w:lineRule="exact"/>
              <w:jc w:val="center"/>
              <w:rPr>
                <w:rFonts w:ascii="宋体" w:hAnsi="宋体"/>
                <w:color w:val="auto"/>
                <w:kern w:val="0"/>
                <w:szCs w:val="21"/>
                <w:highlight w:val="none"/>
              </w:rPr>
            </w:pPr>
          </w:p>
          <w:p w14:paraId="48AF0A9A">
            <w:pPr>
              <w:snapToGrid w:val="0"/>
              <w:spacing w:line="400" w:lineRule="exact"/>
              <w:jc w:val="center"/>
              <w:rPr>
                <w:rFonts w:ascii="宋体" w:hAnsi="宋体"/>
                <w:color w:val="auto"/>
                <w:kern w:val="0"/>
                <w:szCs w:val="21"/>
                <w:highlight w:val="none"/>
              </w:rPr>
            </w:pPr>
          </w:p>
        </w:tc>
        <w:tc>
          <w:tcPr>
            <w:tcW w:w="6490" w:type="dxa"/>
            <w:vAlign w:val="center"/>
          </w:tcPr>
          <w:p w14:paraId="09483D3D">
            <w:pPr>
              <w:autoSpaceDE w:val="0"/>
              <w:autoSpaceDN w:val="0"/>
              <w:adjustRightInd w:val="0"/>
              <w:snapToGrid w:val="0"/>
              <w:spacing w:line="400" w:lineRule="exact"/>
              <w:rPr>
                <w:rFonts w:ascii="宋体" w:hAnsi="宋体"/>
                <w:color w:val="auto"/>
                <w:szCs w:val="21"/>
                <w:highlight w:val="none"/>
              </w:rPr>
            </w:pPr>
            <w:bookmarkStart w:id="121" w:name="OLE_LINK1"/>
            <w:r>
              <w:rPr>
                <w:rFonts w:ascii="宋体" w:hAnsi="宋体"/>
                <w:color w:val="auto"/>
                <w:szCs w:val="21"/>
                <w:highlight w:val="none"/>
              </w:rPr>
              <w:t>本</w:t>
            </w:r>
            <w:r>
              <w:rPr>
                <w:rFonts w:hint="eastAsia" w:ascii="宋体" w:hAnsi="宋体"/>
                <w:color w:val="auto"/>
                <w:szCs w:val="21"/>
                <w:highlight w:val="none"/>
                <w:lang w:val="en-US" w:eastAsia="zh-CN"/>
              </w:rPr>
              <w:t>项目</w:t>
            </w:r>
            <w:r>
              <w:rPr>
                <w:rFonts w:ascii="宋体" w:hAnsi="宋体"/>
                <w:color w:val="auto"/>
                <w:szCs w:val="21"/>
                <w:highlight w:val="none"/>
              </w:rPr>
              <w:t>招标实行资格后审，</w:t>
            </w:r>
            <w:r>
              <w:rPr>
                <w:rFonts w:hint="eastAsia" w:ascii="宋体" w:hAnsi="宋体"/>
                <w:color w:val="auto"/>
                <w:szCs w:val="21"/>
                <w:highlight w:val="none"/>
                <w:lang w:eastAsia="zh-CN"/>
              </w:rPr>
              <w:t>竞选人</w:t>
            </w:r>
            <w:r>
              <w:rPr>
                <w:rFonts w:ascii="宋体" w:hAnsi="宋体"/>
                <w:color w:val="auto"/>
                <w:szCs w:val="21"/>
                <w:highlight w:val="none"/>
              </w:rPr>
              <w:t>应</w:t>
            </w:r>
            <w:bookmarkStart w:id="122" w:name="一是"/>
            <w:bookmarkEnd w:id="122"/>
            <w:r>
              <w:rPr>
                <w:rFonts w:ascii="宋体" w:hAnsi="宋体"/>
                <w:color w:val="auto"/>
                <w:szCs w:val="21"/>
                <w:highlight w:val="none"/>
              </w:rPr>
              <w:t>具备以下资格条件：</w:t>
            </w:r>
          </w:p>
          <w:bookmarkEnd w:id="121"/>
          <w:p w14:paraId="07A53D93">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6D08B0C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（1）具备有效的营业执照。</w:t>
            </w:r>
          </w:p>
          <w:p w14:paraId="76095589">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w:t>
            </w:r>
            <w:r>
              <w:rPr>
                <w:rFonts w:hint="eastAsia" w:ascii="宋体" w:hAnsi="宋体"/>
                <w:color w:val="auto"/>
                <w:szCs w:val="21"/>
                <w:highlight w:val="none"/>
                <w:lang w:eastAsia="zh-CN"/>
              </w:rPr>
              <w:t>竞选人</w:t>
            </w:r>
            <w:r>
              <w:rPr>
                <w:rFonts w:hint="eastAsia" w:ascii="宋体" w:hAnsi="宋体"/>
                <w:color w:val="auto"/>
                <w:szCs w:val="21"/>
                <w:highlight w:val="none"/>
              </w:rPr>
              <w:t>营业执照记载的经营范围作为评审因素。</w:t>
            </w:r>
          </w:p>
          <w:p w14:paraId="093C6A8C">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.投标截止日投标资格情况</w:t>
            </w:r>
          </w:p>
          <w:p w14:paraId="5A4D620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自行承诺（格式</w:t>
            </w:r>
            <w:r>
              <w:rPr>
                <w:rFonts w:hint="eastAsia" w:ascii="宋体" w:hAnsi="宋体"/>
                <w:color w:val="auto"/>
                <w:szCs w:val="21"/>
                <w:highlight w:val="none"/>
                <w:lang w:val="en-US" w:eastAsia="zh-CN"/>
              </w:rPr>
              <w:t>自拟</w:t>
            </w:r>
            <w:r>
              <w:rPr>
                <w:rFonts w:hint="eastAsia" w:ascii="宋体" w:hAnsi="宋体"/>
                <w:color w:val="auto"/>
                <w:szCs w:val="21"/>
                <w:highlight w:val="none"/>
              </w:rPr>
              <w:t>）不得存在下列情形之一：</w:t>
            </w:r>
          </w:p>
          <w:p w14:paraId="1614D46A">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34516234">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（2）被“信用中国”网站(www.creditchina.gov.cn) 列为失信被 执行人</w:t>
            </w:r>
            <w:r>
              <w:rPr>
                <w:rFonts w:hint="eastAsia" w:ascii="宋体" w:hAnsi="宋体"/>
                <w:color w:val="auto"/>
                <w:szCs w:val="21"/>
                <w:highlight w:val="none"/>
                <w:lang w:eastAsia="zh-CN"/>
              </w:rPr>
              <w:t>；</w:t>
            </w:r>
          </w:p>
          <w:p w14:paraId="6882379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（3）被国家、重庆市（含市或任意区县）有关行政部门处以暂停投标资格行政处罚，且在处罚期限内；</w:t>
            </w:r>
          </w:p>
          <w:p w14:paraId="26516A1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）被重庆市</w:t>
            </w:r>
            <w:r>
              <w:rPr>
                <w:rFonts w:hint="eastAsia" w:ascii="宋体" w:hAnsi="宋体" w:eastAsia="宋体" w:cs="宋体"/>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2B807DB9">
            <w:pPr>
              <w:spacing w:line="400" w:lineRule="exact"/>
              <w:ind w:firstLine="420" w:firstLineChars="200"/>
              <w:rPr>
                <w:rFonts w:hint="eastAsia"/>
                <w:color w:val="auto"/>
                <w:highlight w:val="none"/>
              </w:rPr>
            </w:pPr>
            <w:r>
              <w:rPr>
                <w:rFonts w:hint="eastAsia"/>
                <w:color w:val="auto"/>
                <w:highlight w:val="none"/>
                <w:lang w:eastAsia="zh-CN"/>
              </w:rPr>
              <w:t>竞选人</w:t>
            </w:r>
            <w:r>
              <w:rPr>
                <w:rFonts w:hint="eastAsia"/>
                <w:color w:val="auto"/>
                <w:highlight w:val="none"/>
              </w:rPr>
              <w:t>须在</w:t>
            </w:r>
            <w:r>
              <w:rPr>
                <w:rFonts w:hint="eastAsia"/>
                <w:color w:val="auto"/>
                <w:highlight w:val="none"/>
                <w:lang w:eastAsia="zh-CN"/>
              </w:rPr>
              <w:t>竞选文件</w:t>
            </w:r>
            <w:r>
              <w:rPr>
                <w:rFonts w:hint="eastAsia"/>
                <w:color w:val="auto"/>
                <w:highlight w:val="none"/>
              </w:rPr>
              <w:t>资格审查部分提供承诺。</w:t>
            </w:r>
          </w:p>
          <w:p w14:paraId="1981379A">
            <w:pPr>
              <w:autoSpaceDE w:val="0"/>
              <w:autoSpaceDN w:val="0"/>
              <w:adjustRightInd w:val="0"/>
              <w:snapToGrid w:val="0"/>
              <w:spacing w:line="400" w:lineRule="exact"/>
              <w:ind w:firstLine="422" w:firstLineChars="200"/>
              <w:rPr>
                <w:rFonts w:ascii="宋体" w:hAnsi="宋体"/>
                <w:color w:val="auto"/>
                <w:spacing w:val="-24"/>
                <w:kern w:val="0"/>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.其他要求</w:t>
            </w:r>
          </w:p>
          <w:p w14:paraId="480E8D3F">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w:t>
            </w:r>
            <w:r>
              <w:rPr>
                <w:rFonts w:hint="eastAsia" w:ascii="宋体" w:hAnsi="宋体"/>
                <w:color w:val="auto"/>
                <w:kern w:val="0"/>
                <w:szCs w:val="21"/>
                <w:highlight w:val="none"/>
              </w:rPr>
              <w:t>：</w:t>
            </w:r>
          </w:p>
          <w:p w14:paraId="20F03470">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lang w:eastAsia="zh-CN"/>
              </w:rPr>
              <w:t>竞选人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0CD91AA8">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27E5C63A">
            <w:pPr>
              <w:numPr>
                <w:ilvl w:val="0"/>
                <w:numId w:val="1"/>
              </w:numPr>
              <w:autoSpaceDE w:val="0"/>
              <w:autoSpaceDN w:val="0"/>
              <w:adjustRightInd w:val="0"/>
              <w:snapToGrid w:val="0"/>
              <w:spacing w:line="400" w:lineRule="exact"/>
              <w:ind w:firstLine="415" w:firstLineChars="198"/>
              <w:rPr>
                <w:rFonts w:hint="eastAsia" w:ascii="宋体" w:hAnsi="宋体" w:cs="宋体"/>
                <w:color w:val="auto"/>
                <w:szCs w:val="21"/>
                <w:highlight w:val="none"/>
              </w:rPr>
            </w:pPr>
            <w:r>
              <w:rPr>
                <w:rFonts w:hint="eastAsia" w:ascii="宋体" w:hAnsi="宋体" w:cs="宋体"/>
                <w:color w:val="auto"/>
                <w:szCs w:val="21"/>
                <w:highlight w:val="none"/>
              </w:rPr>
              <w:t>上述要求须提交的相关证明材料复印件均应加盖</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单位法人章并装入</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文件资格审查部分中</w:t>
            </w:r>
            <w:r>
              <w:rPr>
                <w:rFonts w:hint="eastAsia" w:ascii="宋体" w:hAnsi="宋体" w:cs="宋体"/>
                <w:color w:val="auto"/>
                <w:kern w:val="0"/>
                <w:szCs w:val="21"/>
                <w:highlight w:val="none"/>
              </w:rPr>
              <w:t>。</w:t>
            </w:r>
          </w:p>
          <w:p w14:paraId="5DBB5EFC">
            <w:pPr>
              <w:numPr>
                <w:ilvl w:val="0"/>
                <w:numId w:val="1"/>
              </w:numPr>
              <w:autoSpaceDE w:val="0"/>
              <w:autoSpaceDN w:val="0"/>
              <w:adjustRightInd w:val="0"/>
              <w:snapToGrid w:val="0"/>
              <w:spacing w:line="400" w:lineRule="exact"/>
              <w:ind w:firstLine="415" w:firstLineChars="198"/>
              <w:rPr>
                <w:rFonts w:ascii="宋体" w:hAnsi="宋体"/>
                <w:bCs/>
                <w:snapToGrid w:val="0"/>
                <w:color w:val="auto"/>
                <w:kern w:val="0"/>
                <w:szCs w:val="21"/>
                <w:highlight w:val="none"/>
              </w:rPr>
            </w:pP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须自行承诺其提供的上述相关证明材料真实有效，不存在弄虚作假情形（格式见第</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章</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w:t>
            </w:r>
            <w:r>
              <w:rPr>
                <w:rFonts w:hint="eastAsia" w:ascii="宋体" w:hAnsi="宋体" w:cs="宋体"/>
                <w:color w:val="auto"/>
                <w:szCs w:val="21"/>
                <w:highlight w:val="none"/>
                <w:u w:val="single"/>
                <w:lang w:eastAsia="zh-CN"/>
              </w:rPr>
              <w:t>竞选人</w:t>
            </w:r>
            <w:r>
              <w:rPr>
                <w:rFonts w:hint="eastAsia" w:ascii="宋体" w:hAnsi="宋体" w:cs="宋体"/>
                <w:color w:val="auto"/>
                <w:szCs w:val="21"/>
                <w:highlight w:val="none"/>
                <w:u w:val="single"/>
              </w:rPr>
              <w:t>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w:t>
            </w:r>
            <w:r>
              <w:rPr>
                <w:rFonts w:hint="eastAsia" w:ascii="宋体" w:hAnsi="宋体" w:cs="宋体"/>
                <w:color w:val="auto"/>
                <w:szCs w:val="21"/>
                <w:highlight w:val="none"/>
                <w:u w:val="single"/>
                <w:lang w:eastAsia="zh-CN"/>
              </w:rPr>
              <w:t>竞选人</w:t>
            </w:r>
            <w:r>
              <w:rPr>
                <w:rFonts w:hint="eastAsia" w:ascii="宋体" w:hAnsi="宋体" w:cs="宋体"/>
                <w:color w:val="auto"/>
                <w:szCs w:val="21"/>
                <w:highlight w:val="none"/>
                <w:u w:val="single"/>
              </w:rPr>
              <w:t>承担因此造成的相关责任并赔偿相应损失</w:t>
            </w:r>
            <w:r>
              <w:rPr>
                <w:rFonts w:hint="eastAsia" w:ascii="宋体" w:hAnsi="宋体" w:cs="宋体"/>
                <w:color w:val="auto"/>
                <w:szCs w:val="21"/>
                <w:highlight w:val="none"/>
              </w:rPr>
              <w:t>。</w:t>
            </w:r>
          </w:p>
        </w:tc>
      </w:tr>
      <w:tr w14:paraId="7F9F2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41193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744E824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183863F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p w14:paraId="677D8184">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14:paraId="0E20B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837B2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57C43D6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3A82985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p w14:paraId="5BFBC21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14:paraId="2907FEB8">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14:paraId="102E1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59A2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39C1C12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1B334D1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p w14:paraId="71C5AAE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14:paraId="1A6173A7">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14:paraId="1112C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6BDBC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1544D03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2C9A165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p w14:paraId="2A646E9F">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r>
              <w:rPr>
                <w:rFonts w:hint="eastAsia" w:ascii="宋体" w:hAnsi="宋体"/>
                <w:color w:val="auto"/>
                <w:kern w:val="0"/>
                <w:szCs w:val="21"/>
                <w:highlight w:val="none"/>
                <w:lang w:val="en-US" w:eastAsia="zh-CN"/>
              </w:rPr>
              <w:t>/</w:t>
            </w:r>
          </w:p>
          <w:p w14:paraId="272DE130">
            <w:pPr>
              <w:snapToGrid w:val="0"/>
              <w:spacing w:line="400" w:lineRule="exact"/>
              <w:ind w:firstLine="1260" w:firstLineChars="600"/>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分包金额要求：</w:t>
            </w:r>
            <w:r>
              <w:rPr>
                <w:rFonts w:hint="eastAsia" w:ascii="宋体" w:hAnsi="宋体"/>
                <w:color w:val="auto"/>
                <w:kern w:val="0"/>
                <w:szCs w:val="21"/>
                <w:highlight w:val="none"/>
                <w:lang w:val="en-US" w:eastAsia="zh-CN"/>
              </w:rPr>
              <w:t>/</w:t>
            </w:r>
          </w:p>
          <w:p w14:paraId="67A69BFE">
            <w:pPr>
              <w:snapToGrid w:val="0"/>
              <w:spacing w:after="15" w:afterLines="5" w:line="400" w:lineRule="exact"/>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接受分包的第三人资质要求：</w:t>
            </w:r>
            <w:r>
              <w:rPr>
                <w:rFonts w:hint="eastAsia" w:ascii="宋体" w:hAnsi="宋体"/>
                <w:color w:val="auto"/>
                <w:kern w:val="0"/>
                <w:szCs w:val="21"/>
                <w:highlight w:val="none"/>
                <w:lang w:val="en-US" w:eastAsia="zh-CN"/>
              </w:rPr>
              <w:t>/</w:t>
            </w:r>
          </w:p>
          <w:p w14:paraId="41106264">
            <w:pPr>
              <w:snapToGrid w:val="0"/>
              <w:spacing w:after="15" w:afterLines="5" w:line="400" w:lineRule="exact"/>
              <w:rPr>
                <w:rFonts w:ascii="宋体" w:hAnsi="宋体"/>
                <w:color w:val="auto"/>
                <w:kern w:val="0"/>
                <w:szCs w:val="21"/>
                <w:highlight w:val="none"/>
              </w:rPr>
            </w:pPr>
            <w:r>
              <w:rPr>
                <w:rFonts w:hint="eastAsia" w:ascii="宋体" w:hAnsi="宋体"/>
                <w:color w:val="auto"/>
                <w:kern w:val="0"/>
                <w:szCs w:val="21"/>
                <w:highlight w:val="none"/>
              </w:rPr>
              <w:t>注：分包应按照相关法律法规及规范性文件执行，不得违法分包。</w:t>
            </w:r>
          </w:p>
        </w:tc>
      </w:tr>
      <w:tr w14:paraId="0DC117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8F9EB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3016E7E1">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构成招标文件的其他材料</w:t>
            </w:r>
          </w:p>
        </w:tc>
        <w:tc>
          <w:tcPr>
            <w:tcW w:w="6490" w:type="dxa"/>
            <w:vAlign w:val="center"/>
          </w:tcPr>
          <w:p w14:paraId="616DA33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A5C9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0FB92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1DAACB6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对招标文件提出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68C0B23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snapToGrid w:val="0"/>
                <w:color w:val="auto"/>
                <w:kern w:val="0"/>
                <w:szCs w:val="21"/>
                <w:highlight w:val="none"/>
                <w:u w:val="none"/>
                <w:lang w:val="en-US" w:eastAsia="zh-CN"/>
              </w:rPr>
              <w:t>向代理机构或比选人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ascii="宋体" w:hAnsi="宋体"/>
                <w:color w:val="auto"/>
                <w:kern w:val="0"/>
                <w:szCs w:val="21"/>
                <w:highlight w:val="none"/>
              </w:rPr>
              <w:t>。</w:t>
            </w:r>
          </w:p>
        </w:tc>
      </w:tr>
      <w:tr w14:paraId="73245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30CE7A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4126050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对招标文件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67FD0022">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应在</w:t>
            </w:r>
            <w:r>
              <w:rPr>
                <w:rFonts w:hint="eastAsia" w:ascii="宋体" w:hAnsi="宋体"/>
                <w:color w:val="auto"/>
                <w:szCs w:val="21"/>
                <w:highlight w:val="none"/>
                <w:lang w:eastAsia="zh-CN"/>
              </w:rPr>
              <w:t>比选公告</w:t>
            </w:r>
            <w:r>
              <w:rPr>
                <w:rFonts w:hint="eastAsia" w:ascii="宋体" w:hAnsi="宋体"/>
                <w:color w:val="auto"/>
                <w:szCs w:val="21"/>
                <w:highlight w:val="none"/>
              </w:rPr>
              <w:t>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行采家</w:t>
            </w:r>
            <w:r>
              <w:rPr>
                <w:rFonts w:hint="eastAsia" w:ascii="宋体" w:hAnsi="宋体"/>
                <w:snapToGrid w:val="0"/>
                <w:color w:val="auto"/>
                <w:kern w:val="0"/>
                <w:szCs w:val="21"/>
                <w:highlight w:val="none"/>
                <w:u w:val="single"/>
              </w:rPr>
              <w:t>(https://www.gec123.com/）</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lang w:eastAsia="zh-CN"/>
              </w:rPr>
              <w:t>重庆广阳湾生态城投资发展集团有限公司官网（http://cq-gyw.com/）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56C89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520ECA2F">
            <w:pPr>
              <w:snapToGrid w:val="0"/>
              <w:spacing w:line="400" w:lineRule="exact"/>
              <w:jc w:val="center"/>
              <w:rPr>
                <w:rFonts w:ascii="宋体" w:hAnsi="宋体"/>
                <w:color w:val="auto"/>
                <w:kern w:val="0"/>
                <w:szCs w:val="21"/>
                <w:highlight w:val="none"/>
              </w:rPr>
            </w:pPr>
          </w:p>
        </w:tc>
        <w:tc>
          <w:tcPr>
            <w:tcW w:w="1644" w:type="dxa"/>
            <w:vAlign w:val="center"/>
          </w:tcPr>
          <w:p w14:paraId="6A3472D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1155B2B0">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比选公告</w:t>
            </w:r>
            <w:r>
              <w:rPr>
                <w:rFonts w:hint="eastAsia" w:ascii="宋体" w:hAnsi="宋体"/>
                <w:color w:val="auto"/>
                <w:szCs w:val="21"/>
                <w:highlight w:val="none"/>
              </w:rPr>
              <w:t>规定的投标截止时间。</w:t>
            </w:r>
          </w:p>
        </w:tc>
      </w:tr>
      <w:tr w14:paraId="423B8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145F7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3D7EFEA5">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对招标文件进行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3B771DE4">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编制的，须在投标截止时间</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日的，须相应延后投标截止时间。</w:t>
            </w:r>
          </w:p>
        </w:tc>
      </w:tr>
      <w:tr w14:paraId="62649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932A2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6A883A86">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竞选文件</w:t>
            </w:r>
            <w:r>
              <w:rPr>
                <w:rFonts w:ascii="宋体" w:hAnsi="宋体"/>
                <w:color w:val="auto"/>
                <w:kern w:val="0"/>
                <w:szCs w:val="21"/>
                <w:highlight w:val="none"/>
              </w:rPr>
              <w:t>的其他材料</w:t>
            </w:r>
          </w:p>
        </w:tc>
        <w:tc>
          <w:tcPr>
            <w:tcW w:w="6490" w:type="dxa"/>
            <w:vAlign w:val="center"/>
          </w:tcPr>
          <w:p w14:paraId="6FF20D1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的书面澄清、说明和补正（但不得改变</w:t>
            </w:r>
            <w:r>
              <w:rPr>
                <w:rFonts w:hint="eastAsia" w:ascii="宋体" w:hAnsi="宋体"/>
                <w:color w:val="auto"/>
                <w:szCs w:val="21"/>
                <w:highlight w:val="none"/>
                <w:lang w:eastAsia="zh-CN"/>
              </w:rPr>
              <w:t>竞选文件</w:t>
            </w:r>
            <w:r>
              <w:rPr>
                <w:rFonts w:ascii="宋体" w:hAnsi="宋体"/>
                <w:color w:val="auto"/>
                <w:szCs w:val="21"/>
                <w:highlight w:val="none"/>
              </w:rPr>
              <w:t>的实质性内容）</w:t>
            </w:r>
          </w:p>
        </w:tc>
      </w:tr>
      <w:tr w14:paraId="7F808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51BD5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43B4074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7301A530">
            <w:pPr>
              <w:pStyle w:val="2"/>
              <w:ind w:left="0" w:leftChars="0" w:firstLine="420" w:firstLineChars="200"/>
              <w:rPr>
                <w:rFonts w:hint="default" w:eastAsia="宋体"/>
                <w:color w:val="auto"/>
                <w:highlight w:val="none"/>
                <w:lang w:val="en-US" w:eastAsia="zh-CN"/>
              </w:rPr>
            </w:pPr>
            <w:r>
              <w:rPr>
                <w:rFonts w:hint="default" w:eastAsia="宋体"/>
                <w:color w:val="auto"/>
                <w:highlight w:val="none"/>
                <w:lang w:val="en-US" w:eastAsia="zh-CN"/>
              </w:rPr>
              <w:t>1</w:t>
            </w:r>
            <w:r>
              <w:rPr>
                <w:rFonts w:hint="eastAsia" w:eastAsia="宋体"/>
                <w:color w:val="auto"/>
                <w:highlight w:val="none"/>
                <w:lang w:val="en-US" w:eastAsia="zh-CN"/>
              </w:rPr>
              <w:t>.</w:t>
            </w:r>
            <w:r>
              <w:rPr>
                <w:rFonts w:hint="default" w:eastAsia="宋体"/>
                <w:color w:val="auto"/>
                <w:highlight w:val="none"/>
                <w:lang w:val="en-US" w:eastAsia="zh-CN"/>
              </w:rPr>
              <w:t>本次报价包括完成本项目所需的服务费、人工费、培训费及各种</w:t>
            </w:r>
            <w:r>
              <w:rPr>
                <w:rFonts w:hint="eastAsia"/>
                <w:color w:val="auto"/>
                <w:highlight w:val="none"/>
                <w:lang w:val="en-US" w:eastAsia="zh-CN"/>
              </w:rPr>
              <w:t>应纳的税费等所有一切费用</w:t>
            </w:r>
            <w:r>
              <w:rPr>
                <w:rFonts w:hint="default" w:eastAsia="宋体"/>
                <w:color w:val="auto"/>
                <w:highlight w:val="none"/>
                <w:lang w:val="en-US" w:eastAsia="zh-CN"/>
              </w:rPr>
              <w:t>。因</w:t>
            </w:r>
            <w:r>
              <w:rPr>
                <w:rFonts w:hint="eastAsia"/>
                <w:color w:val="auto"/>
                <w:highlight w:val="none"/>
                <w:lang w:val="en-US" w:eastAsia="zh-CN"/>
              </w:rPr>
              <w:t>竞选人</w:t>
            </w:r>
            <w:r>
              <w:rPr>
                <w:rFonts w:hint="default" w:eastAsia="宋体"/>
                <w:color w:val="auto"/>
                <w:highlight w:val="none"/>
                <w:lang w:val="en-US" w:eastAsia="zh-CN"/>
              </w:rPr>
              <w:t>自身原因造成漏报、少报皆由其自行承担 责任， 比选人不再补偿。</w:t>
            </w:r>
          </w:p>
          <w:p w14:paraId="45AE4CB2">
            <w:pPr>
              <w:pStyle w:val="2"/>
              <w:ind w:left="0" w:leftChars="0" w:firstLine="420" w:firstLineChars="200"/>
              <w:rPr>
                <w:rFonts w:hint="default"/>
                <w:color w:val="auto"/>
                <w:highlight w:val="none"/>
                <w:lang w:val="en-US" w:eastAsia="zh-CN"/>
              </w:rPr>
            </w:pPr>
            <w:r>
              <w:rPr>
                <w:rFonts w:hint="default" w:eastAsia="宋体"/>
                <w:color w:val="auto"/>
                <w:highlight w:val="none"/>
                <w:lang w:val="en-US" w:eastAsia="zh-CN"/>
              </w:rPr>
              <w:t>2.每月费用</w:t>
            </w:r>
            <w:r>
              <w:rPr>
                <w:rFonts w:hint="eastAsia" w:eastAsia="宋体"/>
                <w:color w:val="auto"/>
                <w:highlight w:val="none"/>
                <w:lang w:val="en-US" w:eastAsia="zh-CN"/>
              </w:rPr>
              <w:t>最高限价</w:t>
            </w:r>
            <w:r>
              <w:rPr>
                <w:rFonts w:hint="eastAsia"/>
                <w:color w:val="auto"/>
                <w:highlight w:val="none"/>
                <w:lang w:val="en-US" w:eastAsia="zh-CN"/>
              </w:rPr>
              <w:t>7.6</w:t>
            </w:r>
            <w:r>
              <w:rPr>
                <w:rFonts w:hint="default" w:eastAsia="宋体"/>
                <w:color w:val="auto"/>
                <w:highlight w:val="none"/>
                <w:lang w:val="en-US" w:eastAsia="zh-CN"/>
              </w:rPr>
              <w:t>万元，</w:t>
            </w:r>
            <w:r>
              <w:rPr>
                <w:rFonts w:hint="eastAsia"/>
                <w:color w:val="auto"/>
                <w:highlight w:val="none"/>
                <w:lang w:val="en-US" w:eastAsia="zh-CN"/>
              </w:rPr>
              <w:t>超过</w:t>
            </w:r>
            <w:r>
              <w:rPr>
                <w:rFonts w:hint="eastAsia" w:eastAsia="宋体"/>
                <w:color w:val="auto"/>
                <w:highlight w:val="none"/>
                <w:lang w:val="en-US" w:eastAsia="zh-CN"/>
              </w:rPr>
              <w:t>总限价</w:t>
            </w:r>
            <w:r>
              <w:rPr>
                <w:rFonts w:hint="eastAsia"/>
                <w:color w:val="auto"/>
                <w:highlight w:val="none"/>
                <w:lang w:val="en-US" w:eastAsia="zh-CN"/>
              </w:rPr>
              <w:t>76万元</w:t>
            </w:r>
            <w:r>
              <w:rPr>
                <w:rFonts w:hint="default" w:eastAsia="宋体"/>
                <w:color w:val="auto"/>
                <w:highlight w:val="none"/>
                <w:lang w:val="en-US" w:eastAsia="zh-CN"/>
              </w:rPr>
              <w:t>作否决投标处理。</w:t>
            </w:r>
          </w:p>
        </w:tc>
      </w:tr>
      <w:tr w14:paraId="434D0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FCDDC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16CAAA9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3A8EA87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lang w:eastAsia="zh-CN"/>
              </w:rPr>
              <w:t>竞选文件</w:t>
            </w:r>
            <w:r>
              <w:rPr>
                <w:rFonts w:ascii="宋体" w:hAnsi="宋体"/>
                <w:color w:val="auto"/>
                <w:szCs w:val="21"/>
                <w:highlight w:val="none"/>
              </w:rPr>
              <w:t>截止日起计算）</w:t>
            </w:r>
          </w:p>
        </w:tc>
      </w:tr>
      <w:tr w14:paraId="6ECC4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29866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21F6AF4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6C3ED1C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lang w:val="en-US" w:eastAsia="zh-CN"/>
              </w:rPr>
              <w:t>方式</w:t>
            </w:r>
            <w:r>
              <w:rPr>
                <w:rFonts w:hint="eastAsia"/>
                <w:color w:val="auto"/>
                <w:highlight w:val="none"/>
              </w:rPr>
              <w:t>一</w:t>
            </w:r>
            <w:r>
              <w:rPr>
                <w:rFonts w:hint="eastAsia"/>
                <w:color w:val="auto"/>
                <w:highlight w:val="none"/>
                <w:lang w:eastAsia="zh-CN"/>
              </w:rPr>
              <w:t>：</w:t>
            </w:r>
            <w:r>
              <w:rPr>
                <w:rFonts w:hint="eastAsia"/>
                <w:color w:val="auto"/>
                <w:highlight w:val="none"/>
              </w:rPr>
              <w:t>以转账形式交纳投标保证金</w:t>
            </w:r>
          </w:p>
          <w:p w14:paraId="348EE78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1、投标保证金交款形式及要求：投标人从企业的基本账户（开户行）在</w:t>
            </w:r>
            <w:r>
              <w:rPr>
                <w:rFonts w:hint="eastAsia"/>
                <w:color w:val="auto"/>
                <w:highlight w:val="none"/>
                <w:lang w:val="en-US" w:eastAsia="zh-CN"/>
              </w:rPr>
              <w:t>投标截止时间</w:t>
            </w:r>
            <w:r>
              <w:rPr>
                <w:rFonts w:hint="eastAsia"/>
                <w:color w:val="auto"/>
                <w:highlight w:val="none"/>
              </w:rPr>
              <w:t>前通过转账方式直接划付至下面指定的投标保证金账户。不满足上述要求的投标保证金无效。</w:t>
            </w:r>
          </w:p>
          <w:p w14:paraId="6905866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lang w:val="en-US" w:eastAsia="zh-CN"/>
              </w:rPr>
              <w:t>实际到账时间：以投标保证金账户显示的到账时间为准；</w:t>
            </w:r>
            <w:r>
              <w:rPr>
                <w:rFonts w:hint="eastAsia"/>
                <w:color w:val="auto"/>
                <w:highlight w:val="none"/>
              </w:rPr>
              <w:t>投标人自行考虑汇入时间风险，如同城汇入、异地汇入、跨行汇入的时间要求。</w:t>
            </w:r>
          </w:p>
          <w:p w14:paraId="63D131F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2、以转账形式提交投标保证金的金额：</w:t>
            </w:r>
            <w:r>
              <w:rPr>
                <w:rFonts w:hint="eastAsia"/>
                <w:color w:val="auto"/>
                <w:highlight w:val="none"/>
                <w:lang w:val="en-US" w:eastAsia="zh-CN"/>
              </w:rPr>
              <w:t>1</w:t>
            </w:r>
            <w:r>
              <w:rPr>
                <w:rFonts w:hint="eastAsia"/>
                <w:color w:val="auto"/>
                <w:highlight w:val="none"/>
              </w:rPr>
              <w:t>万元整（人民币）。</w:t>
            </w:r>
          </w:p>
          <w:p w14:paraId="4EE8CEB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3、投标保证金账户及账号（任选其一）：</w:t>
            </w:r>
          </w:p>
          <w:p w14:paraId="4329CB4E">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b/>
                <w:bCs/>
                <w:color w:val="auto"/>
                <w:highlight w:val="none"/>
              </w:rPr>
            </w:pPr>
            <w:r>
              <w:rPr>
                <w:rFonts w:hint="eastAsia"/>
                <w:b/>
                <w:bCs/>
                <w:color w:val="auto"/>
                <w:highlight w:val="none"/>
              </w:rPr>
              <w:t>户  名：天之瓴建设股份有限公司重庆分公司</w:t>
            </w:r>
          </w:p>
          <w:p w14:paraId="4AD68A0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b/>
                <w:bCs/>
                <w:color w:val="auto"/>
                <w:highlight w:val="none"/>
              </w:rPr>
            </w:pPr>
            <w:r>
              <w:rPr>
                <w:rFonts w:hint="eastAsia"/>
                <w:b/>
                <w:bCs/>
                <w:color w:val="auto"/>
                <w:highlight w:val="none"/>
              </w:rPr>
              <w:t>开户行：交通银行股份有限公司重庆南岸支行</w:t>
            </w:r>
          </w:p>
          <w:p w14:paraId="30B6C8E7">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b/>
                <w:bCs/>
                <w:color w:val="auto"/>
                <w:highlight w:val="none"/>
              </w:rPr>
            </w:pPr>
            <w:r>
              <w:rPr>
                <w:rFonts w:hint="eastAsia"/>
                <w:b/>
                <w:bCs/>
                <w:color w:val="auto"/>
                <w:highlight w:val="none"/>
              </w:rPr>
              <w:t>账  号：500114012018000077673</w:t>
            </w:r>
          </w:p>
          <w:p w14:paraId="6F4C0E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b/>
                <w:bCs/>
                <w:color w:val="auto"/>
                <w:highlight w:val="none"/>
              </w:rPr>
            </w:pPr>
            <w:r>
              <w:rPr>
                <w:rFonts w:hint="eastAsia"/>
                <w:b/>
                <w:bCs/>
                <w:color w:val="auto"/>
                <w:highlight w:val="none"/>
              </w:rPr>
              <w:t>投标人须在投标文件资格审查部分“其他资料”中提供企业基本账户开户证明文件</w:t>
            </w:r>
            <w:r>
              <w:rPr>
                <w:rFonts w:hint="eastAsia"/>
                <w:b/>
                <w:bCs/>
                <w:color w:val="auto"/>
                <w:highlight w:val="none"/>
                <w:lang w:val="en-US" w:eastAsia="zh-CN"/>
              </w:rPr>
              <w:t>和保证金递交凭证复印件</w:t>
            </w:r>
            <w:r>
              <w:rPr>
                <w:rFonts w:hint="eastAsia"/>
                <w:b/>
                <w:bCs/>
                <w:color w:val="auto"/>
                <w:highlight w:val="none"/>
              </w:rPr>
              <w:t>。</w:t>
            </w:r>
          </w:p>
          <w:p w14:paraId="17EE8C9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4、投标人必须在付款凭证备注栏中注明是</w:t>
            </w:r>
            <w:r>
              <w:rPr>
                <w:rFonts w:hint="eastAsia"/>
                <w:color w:val="auto"/>
                <w:highlight w:val="none"/>
                <w:lang w:val="en-US" w:eastAsia="zh-CN"/>
              </w:rPr>
              <w:t>“</w:t>
            </w:r>
            <w:bookmarkStart w:id="123" w:name="OLE_LINK17"/>
            <w:r>
              <w:rPr>
                <w:rFonts w:hint="eastAsia"/>
                <w:color w:val="auto"/>
                <w:highlight w:val="none"/>
                <w:lang w:val="en-US" w:eastAsia="zh-CN"/>
              </w:rPr>
              <w:t>项目名称+投标保证金</w:t>
            </w:r>
            <w:bookmarkEnd w:id="123"/>
            <w:r>
              <w:rPr>
                <w:rFonts w:hint="eastAsia"/>
                <w:color w:val="auto"/>
                <w:highlight w:val="none"/>
                <w:lang w:val="en-US" w:eastAsia="zh-CN"/>
              </w:rPr>
              <w:t>”。项目名称可简写。</w:t>
            </w:r>
          </w:p>
          <w:p w14:paraId="18BAEE4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5、投标保证金有效期与投标有效期一致。</w:t>
            </w:r>
          </w:p>
          <w:p w14:paraId="4AFACA1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6、评标过程中由评标委员会根据投标人在投标文件中提供的企业基本账户开户证明文件核实其投标保证金是否由基本账户转入，未从基本账户转入的，由评标委员会作否决投标处理。</w:t>
            </w:r>
          </w:p>
          <w:p w14:paraId="3E313B1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二、投标保证金的退还</w:t>
            </w:r>
          </w:p>
          <w:p w14:paraId="5202D32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招标人在中标通知书发出后</w:t>
            </w:r>
            <w:r>
              <w:rPr>
                <w:rFonts w:hint="eastAsia"/>
                <w:color w:val="auto"/>
                <w:highlight w:val="none"/>
                <w:lang w:val="en-US" w:eastAsia="zh-CN"/>
              </w:rPr>
              <w:t>15</w:t>
            </w:r>
            <w:r>
              <w:rPr>
                <w:rFonts w:hint="eastAsia"/>
                <w:color w:val="auto"/>
                <w:highlight w:val="none"/>
              </w:rPr>
              <w:t>个工作日内，退还向除中标人和中标候选人以外的投标人</w:t>
            </w:r>
            <w:r>
              <w:rPr>
                <w:rFonts w:hint="eastAsia"/>
                <w:color w:val="auto"/>
                <w:highlight w:val="none"/>
                <w:lang w:val="en-US" w:eastAsia="zh-CN"/>
              </w:rPr>
              <w:t>的</w:t>
            </w:r>
            <w:r>
              <w:rPr>
                <w:rFonts w:hint="eastAsia"/>
                <w:color w:val="auto"/>
                <w:highlight w:val="none"/>
              </w:rPr>
              <w:t>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14:paraId="6199DF9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kern w:val="0"/>
                <w:szCs w:val="21"/>
                <w:highlight w:val="none"/>
              </w:rPr>
            </w:pPr>
            <w:r>
              <w:rPr>
                <w:rFonts w:hint="eastAsia"/>
                <w:color w:val="auto"/>
                <w:highlight w:val="none"/>
              </w:rPr>
              <w:t>招标人和中标人签订合同</w:t>
            </w:r>
            <w:r>
              <w:rPr>
                <w:rFonts w:hint="eastAsia"/>
                <w:color w:val="auto"/>
                <w:highlight w:val="none"/>
                <w:lang w:val="en-US" w:eastAsia="zh-CN"/>
              </w:rPr>
              <w:t>后</w:t>
            </w:r>
            <w:r>
              <w:rPr>
                <w:rFonts w:hint="eastAsia"/>
                <w:color w:val="auto"/>
                <w:highlight w:val="none"/>
                <w:lang w:eastAsia="zh-CN"/>
              </w:rPr>
              <w:t>，</w:t>
            </w:r>
            <w:r>
              <w:rPr>
                <w:rFonts w:hint="eastAsia"/>
                <w:color w:val="auto"/>
                <w:highlight w:val="none"/>
              </w:rPr>
              <w:t>当在合同生效后</w:t>
            </w:r>
            <w:r>
              <w:rPr>
                <w:rFonts w:hint="eastAsia"/>
                <w:color w:val="auto"/>
                <w:highlight w:val="none"/>
                <w:lang w:val="en-US" w:eastAsia="zh-CN"/>
              </w:rPr>
              <w:t>15</w:t>
            </w:r>
            <w:r>
              <w:rPr>
                <w:rFonts w:hint="eastAsia"/>
                <w:color w:val="auto"/>
                <w:highlight w:val="none"/>
              </w:rPr>
              <w:t>个工作日内</w:t>
            </w:r>
            <w:r>
              <w:rPr>
                <w:rFonts w:hint="eastAsia"/>
                <w:color w:val="auto"/>
                <w:highlight w:val="none"/>
                <w:lang w:eastAsia="zh-CN"/>
              </w:rPr>
              <w:t>，</w:t>
            </w:r>
            <w:r>
              <w:rPr>
                <w:rFonts w:hint="eastAsia"/>
                <w:color w:val="auto"/>
                <w:highlight w:val="none"/>
              </w:rPr>
              <w:t>向中标人和中标候选人退还投标保证金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tc>
      </w:tr>
      <w:tr w14:paraId="0EAE5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5D640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1E526E4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39FD3417">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68982FF8">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12265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F3F95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4C193CBB">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格式要求</w:t>
            </w:r>
          </w:p>
        </w:tc>
        <w:tc>
          <w:tcPr>
            <w:tcW w:w="6490" w:type="dxa"/>
            <w:vAlign w:val="center"/>
          </w:tcPr>
          <w:p w14:paraId="2E4515C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时不得对第</w:t>
            </w:r>
            <w:r>
              <w:rPr>
                <w:rFonts w:hint="eastAsia" w:ascii="宋体" w:hAnsi="宋体"/>
                <w:color w:val="auto"/>
                <w:kern w:val="0"/>
                <w:szCs w:val="21"/>
                <w:highlight w:val="none"/>
                <w:lang w:val="en-US" w:eastAsia="zh-CN"/>
              </w:rPr>
              <w:t>六</w:t>
            </w:r>
            <w:r>
              <w:rPr>
                <w:rFonts w:hint="eastAsia" w:ascii="宋体" w:hAnsi="宋体"/>
                <w:color w:val="auto"/>
                <w:kern w:val="0"/>
                <w:szCs w:val="21"/>
                <w:highlight w:val="none"/>
              </w:rPr>
              <w:t>章“</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格式”的相应要素作实质性修改，否则由评标委员会作否决投标处理。</w:t>
            </w:r>
          </w:p>
        </w:tc>
      </w:tr>
      <w:tr w14:paraId="5BCDC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A08A1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12CB914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961C31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竞选文件</w:t>
            </w:r>
            <w:r>
              <w:rPr>
                <w:rFonts w:hint="eastAsia" w:ascii="宋体" w:hAnsi="宋体"/>
                <w:color w:val="auto"/>
                <w:szCs w:val="21"/>
                <w:highlight w:val="none"/>
              </w:rPr>
              <w:t>应用不褪色的材料书写或打印，并由</w:t>
            </w:r>
            <w:r>
              <w:rPr>
                <w:rFonts w:hint="eastAsia" w:ascii="宋体" w:hAnsi="宋体"/>
                <w:color w:val="auto"/>
                <w:szCs w:val="21"/>
                <w:highlight w:val="none"/>
                <w:lang w:eastAsia="zh-CN"/>
              </w:rPr>
              <w:t>竞选人</w:t>
            </w:r>
            <w:r>
              <w:rPr>
                <w:rFonts w:hint="eastAsia" w:ascii="宋体" w:hAnsi="宋体"/>
                <w:color w:val="auto"/>
                <w:szCs w:val="21"/>
                <w:highlight w:val="none"/>
              </w:rPr>
              <w:t>的法定代表人或其委托代理人在招标文件规定的位置按招标文件要求签名或盖章、盖单位法人章。委托代理人签名的，</w:t>
            </w:r>
            <w:r>
              <w:rPr>
                <w:rFonts w:hint="eastAsia" w:ascii="宋体" w:hAnsi="宋体"/>
                <w:color w:val="auto"/>
                <w:szCs w:val="21"/>
                <w:highlight w:val="none"/>
                <w:lang w:eastAsia="zh-CN"/>
              </w:rPr>
              <w:t>竞选文件</w:t>
            </w:r>
            <w:r>
              <w:rPr>
                <w:rFonts w:hint="eastAsia" w:ascii="宋体" w:hAnsi="宋体"/>
                <w:color w:val="auto"/>
                <w:szCs w:val="21"/>
                <w:highlight w:val="none"/>
              </w:rPr>
              <w:t>应附法定代表人签署的授权委托书。</w:t>
            </w:r>
            <w:r>
              <w:rPr>
                <w:rFonts w:hint="eastAsia" w:ascii="宋体" w:hAnsi="宋体"/>
                <w:color w:val="auto"/>
                <w:szCs w:val="21"/>
                <w:highlight w:val="none"/>
                <w:lang w:eastAsia="zh-CN"/>
              </w:rPr>
              <w:t>竞选文件</w:t>
            </w:r>
            <w:r>
              <w:rPr>
                <w:rFonts w:hint="eastAsia" w:ascii="宋体" w:hAnsi="宋体"/>
                <w:color w:val="auto"/>
                <w:szCs w:val="21"/>
                <w:highlight w:val="none"/>
              </w:rPr>
              <w:t>应尽量避免涂改、行间插字或删除。如果出现上述情况，改动之处应加盖单位法人章或由</w:t>
            </w:r>
            <w:r>
              <w:rPr>
                <w:rFonts w:hint="eastAsia" w:ascii="宋体" w:hAnsi="宋体"/>
                <w:color w:val="auto"/>
                <w:szCs w:val="21"/>
                <w:highlight w:val="none"/>
                <w:lang w:eastAsia="zh-CN"/>
              </w:rPr>
              <w:t>竞选人</w:t>
            </w:r>
            <w:r>
              <w:rPr>
                <w:rFonts w:hint="eastAsia" w:ascii="宋体" w:hAnsi="宋体"/>
                <w:color w:val="auto"/>
                <w:szCs w:val="21"/>
                <w:highlight w:val="none"/>
              </w:rPr>
              <w:t>的法定代表人或其授权的代理人签名确认。</w:t>
            </w:r>
          </w:p>
          <w:p w14:paraId="15FE0391">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3C97F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28D7F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33B9709C">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竞选文件</w:t>
            </w:r>
            <w:r>
              <w:rPr>
                <w:rFonts w:ascii="宋体" w:hAnsi="宋体"/>
                <w:color w:val="auto"/>
                <w:spacing w:val="-6"/>
                <w:kern w:val="0"/>
                <w:szCs w:val="21"/>
                <w:highlight w:val="none"/>
              </w:rPr>
              <w:t>的份数</w:t>
            </w:r>
          </w:p>
        </w:tc>
        <w:tc>
          <w:tcPr>
            <w:tcW w:w="6490" w:type="dxa"/>
            <w:vAlign w:val="center"/>
          </w:tcPr>
          <w:p w14:paraId="27CB8FC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eastAsia="宋体" w:cs="Times New Roman"/>
                <w:color w:val="auto"/>
                <w:kern w:val="0"/>
                <w:szCs w:val="21"/>
                <w:highlight w:val="none"/>
                <w:lang w:eastAsia="zh-CN"/>
              </w:rPr>
              <w:t xml:space="preserve">竞选文件一式二份(其中：正本一份，副本一份、电子档一份 </w:t>
            </w:r>
            <w:r>
              <w:rPr>
                <w:rFonts w:hint="eastAsia" w:ascii="宋体" w:hAnsi="宋体" w:eastAsia="宋体" w:cs="Times New Roman"/>
                <w:b/>
                <w:bCs/>
                <w:color w:val="auto"/>
                <w:kern w:val="0"/>
                <w:szCs w:val="21"/>
                <w:highlight w:val="none"/>
                <w:lang w:eastAsia="zh-CN"/>
              </w:rPr>
              <w:t>(将投标文件正本</w:t>
            </w:r>
            <w:r>
              <w:rPr>
                <w:rFonts w:hint="eastAsia" w:ascii="宋体" w:hAnsi="宋体" w:cs="Times New Roman"/>
                <w:b/>
                <w:bCs/>
                <w:color w:val="auto"/>
                <w:kern w:val="0"/>
                <w:szCs w:val="21"/>
                <w:highlight w:val="none"/>
                <w:lang w:val="en-US" w:eastAsia="zh-CN"/>
              </w:rPr>
              <w:t>签字</w:t>
            </w:r>
            <w:r>
              <w:rPr>
                <w:rFonts w:hint="eastAsia" w:ascii="宋体" w:hAnsi="宋体" w:eastAsia="宋体" w:cs="Times New Roman"/>
                <w:b/>
                <w:bCs/>
                <w:color w:val="auto"/>
                <w:kern w:val="0"/>
                <w:szCs w:val="21"/>
                <w:highlight w:val="none"/>
                <w:lang w:eastAsia="zh-CN"/>
              </w:rPr>
              <w:t>盖章</w:t>
            </w:r>
            <w:r>
              <w:rPr>
                <w:rFonts w:hint="eastAsia" w:ascii="宋体" w:hAnsi="宋体" w:cs="Times New Roman"/>
                <w:b/>
                <w:bCs/>
                <w:color w:val="auto"/>
                <w:kern w:val="0"/>
                <w:szCs w:val="21"/>
                <w:highlight w:val="none"/>
                <w:lang w:val="en-US" w:eastAsia="zh-CN"/>
              </w:rPr>
              <w:t>完整的文件</w:t>
            </w:r>
            <w:r>
              <w:rPr>
                <w:rFonts w:hint="eastAsia" w:ascii="宋体" w:hAnsi="宋体" w:eastAsia="宋体" w:cs="Times New Roman"/>
                <w:b/>
                <w:bCs/>
                <w:color w:val="auto"/>
                <w:kern w:val="0"/>
                <w:szCs w:val="21"/>
                <w:highlight w:val="none"/>
                <w:lang w:eastAsia="zh-CN"/>
              </w:rPr>
              <w:t>扫描后</w:t>
            </w:r>
            <w:r>
              <w:rPr>
                <w:rFonts w:hint="eastAsia" w:ascii="宋体" w:hAnsi="宋体" w:cs="Times New Roman"/>
                <w:b/>
                <w:bCs/>
                <w:color w:val="auto"/>
                <w:kern w:val="0"/>
                <w:szCs w:val="21"/>
                <w:highlight w:val="none"/>
                <w:lang w:eastAsia="zh-CN"/>
              </w:rPr>
              <w:t>，</w:t>
            </w:r>
            <w:r>
              <w:rPr>
                <w:rFonts w:hint="eastAsia" w:ascii="宋体" w:hAnsi="宋体" w:cs="Times New Roman"/>
                <w:b/>
                <w:bCs/>
                <w:color w:val="auto"/>
                <w:kern w:val="0"/>
                <w:szCs w:val="21"/>
                <w:highlight w:val="none"/>
                <w:lang w:val="en-US" w:eastAsia="zh-CN"/>
              </w:rPr>
              <w:t>在规定时间内上传至“行采家”网站</w:t>
            </w:r>
            <w:r>
              <w:rPr>
                <w:rFonts w:hint="eastAsia" w:ascii="宋体" w:hAnsi="宋体" w:eastAsia="宋体" w:cs="Times New Roman"/>
                <w:b/>
                <w:bCs/>
                <w:color w:val="auto"/>
                <w:kern w:val="0"/>
                <w:szCs w:val="21"/>
                <w:highlight w:val="none"/>
                <w:lang w:eastAsia="zh-CN"/>
              </w:rPr>
              <w:t>)</w:t>
            </w:r>
            <w:r>
              <w:rPr>
                <w:rFonts w:hint="eastAsia" w:ascii="宋体" w:hAnsi="宋体" w:eastAsia="宋体" w:cs="Times New Roman"/>
                <w:color w:val="auto"/>
                <w:kern w:val="0"/>
                <w:szCs w:val="21"/>
                <w:highlight w:val="none"/>
                <w:lang w:eastAsia="zh-CN"/>
              </w:rPr>
              <w:t>) ，副本可以为正本的复 印件， 投标</w:t>
            </w:r>
            <w:bookmarkStart w:id="561" w:name="_GoBack"/>
            <w:bookmarkEnd w:id="561"/>
            <w:r>
              <w:rPr>
                <w:rFonts w:hint="eastAsia" w:ascii="宋体" w:hAnsi="宋体" w:eastAsia="宋体" w:cs="Times New Roman"/>
                <w:color w:val="auto"/>
                <w:kern w:val="0"/>
                <w:szCs w:val="21"/>
                <w:highlight w:val="none"/>
                <w:lang w:eastAsia="zh-CN"/>
              </w:rPr>
              <w:t>文件内容应清楚地标记“正本”或“副本”的字样，当副本和正本不一致时，以正本为准。</w:t>
            </w:r>
          </w:p>
        </w:tc>
      </w:tr>
      <w:tr w14:paraId="31AC4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39786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51815CD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296E73A2">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val="en-US" w:eastAsia="zh-CN"/>
              </w:rPr>
              <w:t>六</w:t>
            </w:r>
            <w:r>
              <w:rPr>
                <w:rFonts w:hint="eastAsia" w:ascii="宋体" w:hAnsi="宋体"/>
                <w:color w:val="auto"/>
                <w:szCs w:val="21"/>
                <w:highlight w:val="none"/>
              </w:rPr>
              <w:t>章规定格式装订成册，并应编制目录，标注页码。</w:t>
            </w:r>
          </w:p>
          <w:p w14:paraId="13850E4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本项目技术部分采用明标评审，投标文件须装订成册，并应编制目录，若装订过厚，也可分订成多册。</w:t>
            </w:r>
          </w:p>
        </w:tc>
      </w:tr>
      <w:tr w14:paraId="663A2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98819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0FA47F79">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竞选文件</w:t>
            </w:r>
            <w:r>
              <w:rPr>
                <w:rFonts w:ascii="宋体" w:hAnsi="宋体"/>
                <w:color w:val="auto"/>
                <w:spacing w:val="-6"/>
                <w:kern w:val="0"/>
                <w:szCs w:val="21"/>
                <w:highlight w:val="none"/>
              </w:rPr>
              <w:t>的密封</w:t>
            </w:r>
          </w:p>
        </w:tc>
        <w:tc>
          <w:tcPr>
            <w:tcW w:w="6490" w:type="dxa"/>
            <w:vAlign w:val="center"/>
          </w:tcPr>
          <w:p w14:paraId="7D527782">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1、竞选文件密封袋内装竞选文件正本和副本。封口处应 用封条密封， 封条上写明注明“开标时启封”字样并加盖投标人单位公章。同时应按本表第 4.1.2 项的规定写明相应内容。</w:t>
            </w:r>
          </w:p>
          <w:p w14:paraId="705498D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2、如果竞选人未按上述规定封装，</w:t>
            </w:r>
            <w:r>
              <w:rPr>
                <w:rFonts w:hint="eastAsia" w:ascii="宋体" w:hAnsi="宋体"/>
                <w:color w:val="auto"/>
                <w:szCs w:val="21"/>
                <w:highlight w:val="none"/>
                <w:lang w:val="en-US" w:eastAsia="zh-CN"/>
              </w:rPr>
              <w:t>比选</w:t>
            </w:r>
            <w:r>
              <w:rPr>
                <w:rFonts w:hint="eastAsia" w:ascii="宋体" w:hAnsi="宋体"/>
                <w:color w:val="auto"/>
                <w:szCs w:val="21"/>
                <w:highlight w:val="none"/>
              </w:rPr>
              <w:t>人或招标代理机构应当拒绝接收。</w:t>
            </w:r>
          </w:p>
        </w:tc>
      </w:tr>
      <w:tr w14:paraId="32413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D19D5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74E5555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3AB5AD8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lang w:eastAsia="zh-CN"/>
              </w:rPr>
              <w:t>竞选文件</w:t>
            </w:r>
            <w:r>
              <w:rPr>
                <w:rFonts w:ascii="宋体" w:hAnsi="宋体"/>
                <w:color w:val="auto"/>
                <w:kern w:val="0"/>
                <w:szCs w:val="21"/>
                <w:highlight w:val="none"/>
              </w:rPr>
              <w:t>”大袋封套上写明如下内容：</w:t>
            </w:r>
          </w:p>
          <w:p w14:paraId="63885F8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u w:val="single"/>
              </w:rPr>
              <w:t xml:space="preserve">  </w:t>
            </w:r>
          </w:p>
          <w:p w14:paraId="2848D15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52245538">
            <w:pPr>
              <w:snapToGrid w:val="0"/>
              <w:spacing w:line="400" w:lineRule="exact"/>
              <w:ind w:firstLine="420" w:firstLineChars="200"/>
              <w:rPr>
                <w:rFonts w:hint="eastAsia" w:ascii="宋体" w:hAnsi="宋体" w:eastAsia="宋体"/>
                <w:color w:val="auto"/>
                <w:kern w:val="0"/>
                <w:szCs w:val="21"/>
                <w:highlight w:val="none"/>
                <w:lang w:eastAsia="zh-CN"/>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竞选文件</w:t>
            </w:r>
          </w:p>
          <w:p w14:paraId="71349555">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6FA76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67D9F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70E7ECC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竞选文件</w:t>
            </w:r>
            <w:r>
              <w:rPr>
                <w:rFonts w:ascii="宋体" w:hAnsi="宋体"/>
                <w:color w:val="auto"/>
                <w:kern w:val="0"/>
                <w:szCs w:val="21"/>
                <w:highlight w:val="none"/>
              </w:rPr>
              <w:t>地点</w:t>
            </w:r>
          </w:p>
        </w:tc>
        <w:tc>
          <w:tcPr>
            <w:tcW w:w="6490" w:type="dxa"/>
            <w:vAlign w:val="center"/>
          </w:tcPr>
          <w:p w14:paraId="3BB90514">
            <w:pPr>
              <w:snapToGrid w:val="0"/>
              <w:spacing w:line="400" w:lineRule="exact"/>
              <w:ind w:firstLine="420" w:firstLineChars="200"/>
              <w:rPr>
                <w:rFonts w:ascii="宋体" w:hAnsi="宋体"/>
                <w:bCs/>
                <w:i/>
                <w:color w:val="auto"/>
                <w:szCs w:val="21"/>
                <w:highlight w:val="none"/>
              </w:rPr>
            </w:pPr>
            <w:r>
              <w:rPr>
                <w:rFonts w:hint="eastAsia" w:ascii="宋体" w:hAnsi="宋体"/>
                <w:snapToGrid w:val="0"/>
                <w:color w:val="auto"/>
                <w:kern w:val="0"/>
                <w:szCs w:val="21"/>
                <w:highlight w:val="none"/>
                <w:u w:val="single"/>
                <w:lang w:eastAsia="zh-CN"/>
              </w:rPr>
              <w:t>天之瓴建设股份有限公司会议室（重庆市南岸区通江大道214号</w:t>
            </w:r>
            <w:r>
              <w:rPr>
                <w:rFonts w:hint="eastAsia" w:ascii="宋体" w:hAnsi="宋体"/>
                <w:snapToGrid w:val="0"/>
                <w:color w:val="auto"/>
                <w:kern w:val="0"/>
                <w:szCs w:val="21"/>
                <w:highlight w:val="none"/>
                <w:u w:val="single"/>
                <w:lang w:val="en-US" w:eastAsia="zh-CN"/>
              </w:rPr>
              <w:t>2栋2单元3-3</w:t>
            </w:r>
            <w:r>
              <w:rPr>
                <w:rFonts w:hint="eastAsia" w:ascii="宋体" w:hAnsi="宋体"/>
                <w:snapToGrid w:val="0"/>
                <w:color w:val="auto"/>
                <w:kern w:val="0"/>
                <w:szCs w:val="21"/>
                <w:highlight w:val="none"/>
                <w:u w:val="single"/>
                <w:lang w:eastAsia="zh-CN"/>
              </w:rPr>
              <w:t>）</w:t>
            </w:r>
          </w:p>
        </w:tc>
      </w:tr>
      <w:tr w14:paraId="00F4F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73017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4329A223">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竞选文件</w:t>
            </w:r>
          </w:p>
        </w:tc>
        <w:tc>
          <w:tcPr>
            <w:tcW w:w="6490" w:type="dxa"/>
            <w:vAlign w:val="center"/>
          </w:tcPr>
          <w:p w14:paraId="123C220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w:t>
            </w:r>
          </w:p>
        </w:tc>
      </w:tr>
      <w:tr w14:paraId="6B6AF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A9B47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13B7BA7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4E95C65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7C4BD44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156CA5B4">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olor w:val="auto"/>
                <w:kern w:val="0"/>
                <w:szCs w:val="21"/>
                <w:highlight w:val="none"/>
                <w:lang w:val="en-US" w:eastAsia="zh-CN"/>
              </w:rPr>
              <w:t>详见比选公告</w:t>
            </w:r>
            <w:r>
              <w:rPr>
                <w:rFonts w:ascii="宋体" w:hAnsi="宋体"/>
                <w:bCs/>
                <w:color w:val="auto"/>
                <w:szCs w:val="21"/>
                <w:highlight w:val="none"/>
              </w:rPr>
              <w:t>。</w:t>
            </w:r>
          </w:p>
        </w:tc>
      </w:tr>
      <w:tr w14:paraId="6DA1A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142530">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31C4F254">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089ED459">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7A313CC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lang w:eastAsia="zh-CN"/>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68616B08">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20A3AC3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1C493EC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w:t>
            </w:r>
            <w:r>
              <w:rPr>
                <w:rFonts w:hint="eastAsia" w:ascii="宋体" w:hAnsi="宋体"/>
                <w:color w:val="auto"/>
                <w:szCs w:val="21"/>
                <w:highlight w:val="none"/>
                <w:lang w:eastAsia="zh-CN"/>
              </w:rPr>
              <w:t>竞选文件</w:t>
            </w:r>
            <w:r>
              <w:rPr>
                <w:rFonts w:ascii="宋体" w:hAnsi="宋体"/>
                <w:color w:val="auto"/>
                <w:szCs w:val="21"/>
                <w:highlight w:val="none"/>
              </w:rPr>
              <w:t>的</w:t>
            </w:r>
            <w:r>
              <w:rPr>
                <w:rFonts w:hint="eastAsia" w:ascii="宋体" w:hAnsi="宋体"/>
                <w:color w:val="auto"/>
                <w:szCs w:val="21"/>
                <w:highlight w:val="none"/>
                <w:lang w:eastAsia="zh-CN"/>
              </w:rPr>
              <w:t>竞选人</w:t>
            </w:r>
            <w:r>
              <w:rPr>
                <w:rFonts w:ascii="宋体" w:hAnsi="宋体"/>
                <w:color w:val="auto"/>
                <w:szCs w:val="21"/>
                <w:highlight w:val="none"/>
              </w:rPr>
              <w:t>名称</w:t>
            </w:r>
            <w:r>
              <w:rPr>
                <w:rFonts w:hint="eastAsia" w:ascii="宋体" w:hAnsi="宋体"/>
                <w:color w:val="auto"/>
                <w:szCs w:val="21"/>
                <w:highlight w:val="none"/>
              </w:rPr>
              <w:t>。</w:t>
            </w:r>
          </w:p>
          <w:p w14:paraId="31A293F3">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lang w:eastAsia="zh-CN"/>
              </w:rPr>
              <w:t>竞选文件</w:t>
            </w:r>
            <w:r>
              <w:rPr>
                <w:rFonts w:hint="eastAsia" w:ascii="宋体" w:hAnsi="宋体"/>
                <w:color w:val="auto"/>
                <w:szCs w:val="21"/>
                <w:highlight w:val="none"/>
              </w:rPr>
              <w:t>的密封检查：</w:t>
            </w:r>
            <w:r>
              <w:rPr>
                <w:rFonts w:hint="eastAsia" w:ascii="宋体" w:hAnsi="宋体"/>
                <w:color w:val="auto"/>
                <w:szCs w:val="21"/>
                <w:highlight w:val="none"/>
                <w:lang w:eastAsia="zh-CN"/>
              </w:rPr>
              <w:t>竞选人</w:t>
            </w:r>
            <w:r>
              <w:rPr>
                <w:rFonts w:hint="eastAsia" w:ascii="宋体" w:hAnsi="宋体"/>
                <w:color w:val="auto"/>
                <w:szCs w:val="21"/>
                <w:highlight w:val="none"/>
              </w:rPr>
              <w:t>可对自己的</w:t>
            </w:r>
            <w:r>
              <w:rPr>
                <w:rFonts w:hint="eastAsia" w:ascii="宋体" w:hAnsi="宋体"/>
                <w:color w:val="auto"/>
                <w:szCs w:val="21"/>
                <w:highlight w:val="none"/>
                <w:lang w:eastAsia="zh-CN"/>
              </w:rPr>
              <w:t>竞选文件</w:t>
            </w:r>
            <w:r>
              <w:rPr>
                <w:rFonts w:hint="eastAsia" w:ascii="宋体" w:hAnsi="宋体"/>
                <w:color w:val="auto"/>
                <w:szCs w:val="21"/>
                <w:highlight w:val="none"/>
              </w:rPr>
              <w:t>封装情况进行检查，以确认其</w:t>
            </w:r>
            <w:r>
              <w:rPr>
                <w:rFonts w:hint="eastAsia" w:ascii="宋体" w:hAnsi="宋体"/>
                <w:color w:val="auto"/>
                <w:szCs w:val="21"/>
                <w:highlight w:val="none"/>
                <w:lang w:eastAsia="zh-CN"/>
              </w:rPr>
              <w:t>竞选文件</w:t>
            </w:r>
            <w:r>
              <w:rPr>
                <w:rFonts w:hint="eastAsia" w:ascii="宋体" w:hAnsi="宋体"/>
                <w:color w:val="auto"/>
                <w:szCs w:val="21"/>
                <w:highlight w:val="none"/>
              </w:rPr>
              <w:t>密封完好。</w:t>
            </w:r>
          </w:p>
          <w:p w14:paraId="42CB175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14:paraId="7DAA78F2">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，采用经评审最低投标价法的还需计算最高限价的85%数值，以便评标委员会评审。</w:t>
            </w:r>
          </w:p>
          <w:p w14:paraId="6205C23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lang w:eastAsia="zh-CN"/>
              </w:rPr>
              <w:t>竞选文件</w:t>
            </w:r>
            <w:r>
              <w:rPr>
                <w:rFonts w:ascii="宋体" w:hAnsi="宋体"/>
                <w:color w:val="auto"/>
                <w:szCs w:val="21"/>
                <w:highlight w:val="none"/>
              </w:rPr>
              <w:t>。公布</w:t>
            </w:r>
            <w:r>
              <w:rPr>
                <w:rFonts w:hint="eastAsia" w:ascii="宋体" w:hAnsi="宋体"/>
                <w:color w:val="auto"/>
                <w:szCs w:val="21"/>
                <w:highlight w:val="none"/>
                <w:lang w:eastAsia="zh-CN"/>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0964A35A">
            <w:pPr>
              <w:numPr>
                <w:ilvl w:val="255"/>
                <w:numId w:val="0"/>
              </w:num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eastAsia="zh-CN"/>
              </w:rPr>
              <w:t>竞选人</w:t>
            </w:r>
            <w:r>
              <w:rPr>
                <w:rFonts w:hint="eastAsia" w:ascii="宋体" w:hAnsi="宋体"/>
                <w:color w:val="auto"/>
                <w:szCs w:val="21"/>
                <w:highlight w:val="none"/>
              </w:rPr>
              <w:t>对开标有异议的，应当场提出，由</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或代理机构当场答复，并记录到开标记录表中。异议处理完毕后，汇总开标情况，打印开标记录表。</w:t>
            </w:r>
          </w:p>
          <w:p w14:paraId="31AA2E83">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 xml:space="preserve">. </w:t>
            </w:r>
            <w:r>
              <w:rPr>
                <w:rFonts w:hint="eastAsia" w:ascii="宋体" w:hAnsi="宋体"/>
                <w:color w:val="auto"/>
                <w:szCs w:val="21"/>
                <w:highlight w:val="none"/>
                <w:lang w:eastAsia="zh-CN"/>
              </w:rPr>
              <w:t>竞选人</w:t>
            </w:r>
            <w:r>
              <w:rPr>
                <w:rFonts w:ascii="宋体" w:hAnsi="宋体"/>
                <w:color w:val="auto"/>
                <w:szCs w:val="21"/>
                <w:highlight w:val="none"/>
              </w:rPr>
              <w:t>代表、</w:t>
            </w:r>
            <w:r>
              <w:rPr>
                <w:rFonts w:hint="eastAsia" w:ascii="宋体" w:hAnsi="宋体"/>
                <w:color w:val="auto"/>
                <w:szCs w:val="21"/>
                <w:highlight w:val="none"/>
                <w:lang w:eastAsia="zh-CN"/>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4FEA650B">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 开标结束。</w:t>
            </w:r>
          </w:p>
        </w:tc>
      </w:tr>
      <w:tr w14:paraId="26D2C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66AC7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791963C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523F1E93">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62373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EB368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52D26F9F">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414F62A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51C448DF">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B</w:t>
            </w:r>
            <w:r>
              <w:rPr>
                <w:rFonts w:ascii="宋体" w:hAnsi="宋体"/>
                <w:color w:val="auto"/>
                <w:kern w:val="0"/>
                <w:szCs w:val="21"/>
                <w:highlight w:val="none"/>
              </w:rPr>
              <w:t>否，推荐经评审综合得分由高到低排名前三名为中标候选人。</w:t>
            </w:r>
          </w:p>
        </w:tc>
      </w:tr>
      <w:tr w14:paraId="2CD2C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9D38B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5E96F299">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6625297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w:t>
            </w:r>
            <w:r>
              <w:rPr>
                <w:rFonts w:hint="eastAsia" w:ascii="宋体" w:hAnsi="宋体" w:cs="宋体"/>
                <w:color w:val="auto"/>
                <w:szCs w:val="21"/>
                <w:highlight w:val="none"/>
                <w:lang w:eastAsia="zh-CN"/>
              </w:rPr>
              <w:t>个工作日</w:t>
            </w:r>
            <w:r>
              <w:rPr>
                <w:rFonts w:hint="eastAsia" w:ascii="宋体" w:hAnsi="宋体" w:cs="宋体"/>
                <w:color w:val="auto"/>
                <w:szCs w:val="21"/>
                <w:highlight w:val="none"/>
              </w:rPr>
              <w:t>内将评标结果在</w:t>
            </w:r>
            <w:r>
              <w:rPr>
                <w:rFonts w:hint="eastAsia" w:ascii="宋体" w:hAnsi="宋体"/>
                <w:snapToGrid w:val="0"/>
                <w:color w:val="auto"/>
                <w:kern w:val="0"/>
                <w:szCs w:val="21"/>
                <w:highlight w:val="none"/>
                <w:u w:val="single"/>
                <w:lang w:val="en-US" w:eastAsia="zh-CN"/>
              </w:rPr>
              <w:t>行采家</w:t>
            </w:r>
            <w:r>
              <w:rPr>
                <w:rFonts w:hint="eastAsia" w:ascii="宋体" w:hAnsi="宋体"/>
                <w:snapToGrid w:val="0"/>
                <w:color w:val="auto"/>
                <w:kern w:val="0"/>
                <w:szCs w:val="21"/>
                <w:highlight w:val="none"/>
                <w:u w:val="single"/>
              </w:rPr>
              <w:t>(https://www.gec123.com/）</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lang w:eastAsia="zh-CN"/>
              </w:rPr>
              <w:t>重庆广阳湾生态城投资发展集团有限公司官网（http://cq-gyw.com/）</w:t>
            </w:r>
            <w:r>
              <w:rPr>
                <w:rFonts w:hint="eastAsia" w:ascii="宋体" w:hAnsi="宋体" w:cs="宋体"/>
                <w:color w:val="auto"/>
                <w:szCs w:val="21"/>
                <w:highlight w:val="none"/>
              </w:rPr>
              <w:t>上进行公示，</w:t>
            </w:r>
            <w:bookmarkStart w:id="124" w:name="OLE_LINK16"/>
            <w:r>
              <w:rPr>
                <w:rFonts w:hint="eastAsia" w:ascii="宋体" w:hAnsi="宋体" w:cs="宋体"/>
                <w:color w:val="auto"/>
                <w:szCs w:val="21"/>
                <w:highlight w:val="none"/>
              </w:rPr>
              <w:t>公示期为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bookmarkEnd w:id="124"/>
            <w:r>
              <w:rPr>
                <w:rFonts w:hint="eastAsia" w:ascii="宋体" w:hAnsi="宋体" w:cs="宋体"/>
                <w:color w:val="auto"/>
                <w:szCs w:val="21"/>
                <w:highlight w:val="none"/>
              </w:rPr>
              <w:t>。</w:t>
            </w:r>
          </w:p>
        </w:tc>
      </w:tr>
      <w:tr w14:paraId="1222D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41C91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049547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454B54E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r>
              <w:rPr>
                <w:rFonts w:hint="eastAsia" w:ascii="宋体" w:hAnsi="宋体"/>
                <w:i/>
                <w:color w:val="auto"/>
                <w:kern w:val="0"/>
                <w:szCs w:val="21"/>
                <w:highlight w:val="none"/>
              </w:rPr>
              <w:t>[提示：</w:t>
            </w:r>
            <w:r>
              <w:rPr>
                <w:rFonts w:hint="eastAsia" w:ascii="宋体" w:hAnsi="宋体"/>
                <w:i/>
                <w:color w:val="auto"/>
                <w:kern w:val="0"/>
                <w:szCs w:val="21"/>
                <w:highlight w:val="none"/>
                <w:lang w:eastAsia="zh-CN"/>
              </w:rPr>
              <w:t>比选人</w:t>
            </w:r>
            <w:r>
              <w:rPr>
                <w:rFonts w:hint="eastAsia" w:ascii="宋体" w:hAnsi="宋体"/>
                <w:i/>
                <w:color w:val="auto"/>
                <w:kern w:val="0"/>
                <w:szCs w:val="21"/>
                <w:highlight w:val="none"/>
              </w:rPr>
              <w:t>要求中标人提供履约担保的，应向中标人提供相应的支付担保。]</w:t>
            </w:r>
          </w:p>
          <w:p w14:paraId="5FBDF0C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4AFCF0B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（1）履约担保的形式：现金或银行保函或现金+银行保函的组合；采用银行保函形式的，保函必须为不可撤销且见索即付；</w:t>
            </w:r>
          </w:p>
          <w:p w14:paraId="4BD5790D">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（2）履约担保的金额：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中标金额10%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06328BB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（3）履约担保的提交时间：见专用合同条款。</w:t>
            </w:r>
          </w:p>
          <w:p w14:paraId="7AA1840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（4）履约担保的期限：见专用合同条款。</w:t>
            </w:r>
          </w:p>
          <w:p w14:paraId="63E2521F">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（5）履约担保的退还时间：见专用合同条款。</w:t>
            </w:r>
          </w:p>
        </w:tc>
      </w:tr>
      <w:tr w14:paraId="40D64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5AE7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21A538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2864661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须知第8.1（1）执行；</w:t>
            </w:r>
          </w:p>
          <w:p w14:paraId="78F5313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须知第8.1（2）执行；</w:t>
            </w:r>
          </w:p>
          <w:p w14:paraId="43485302">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须知第8.1（3）执行；</w:t>
            </w:r>
          </w:p>
          <w:p w14:paraId="2AA99CA3">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414C38F7">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4A1287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D44C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5083CE64">
            <w:pPr>
              <w:snapToGrid w:val="0"/>
              <w:spacing w:line="400" w:lineRule="exact"/>
              <w:jc w:val="center"/>
              <w:rPr>
                <w:color w:val="auto"/>
                <w:highlight w:val="none"/>
              </w:rPr>
            </w:pPr>
            <w:bookmarkStart w:id="125" w:name="_Toc430530434"/>
            <w:bookmarkStart w:id="126" w:name="_Toc509218709"/>
            <w:bookmarkStart w:id="127" w:name="_Toc13210670"/>
            <w:bookmarkStart w:id="128" w:name="_Toc16930431"/>
            <w:bookmarkStart w:id="129" w:name="_Toc53662825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25"/>
            <w:bookmarkEnd w:id="126"/>
            <w:bookmarkEnd w:id="127"/>
            <w:bookmarkEnd w:id="128"/>
            <w:bookmarkEnd w:id="129"/>
          </w:p>
        </w:tc>
        <w:tc>
          <w:tcPr>
            <w:tcW w:w="6490" w:type="dxa"/>
            <w:vAlign w:val="center"/>
          </w:tcPr>
          <w:p w14:paraId="6A073490">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仍然少于三个的，按照招标投标法律法规规定的程序开标和评标。重新招标经评审有有效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30AD1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D3AA8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403F85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7904B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6DC8AC">
            <w:pPr>
              <w:snapToGrid w:val="0"/>
              <w:spacing w:line="400" w:lineRule="exact"/>
              <w:jc w:val="center"/>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1</w:t>
            </w:r>
          </w:p>
        </w:tc>
        <w:tc>
          <w:tcPr>
            <w:tcW w:w="1644" w:type="dxa"/>
            <w:vAlign w:val="center"/>
          </w:tcPr>
          <w:p w14:paraId="6BD6179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3474C434">
            <w:pPr>
              <w:widowControl/>
              <w:spacing w:line="400" w:lineRule="exact"/>
              <w:ind w:firstLine="420" w:firstLineChars="200"/>
              <w:rPr>
                <w:rFonts w:ascii="宋体" w:hAnsi="宋体"/>
                <w:color w:val="auto"/>
                <w:kern w:val="0"/>
                <w:szCs w:val="21"/>
                <w:highlight w:val="none"/>
              </w:rPr>
            </w:pPr>
            <w:bookmarkStart w:id="130" w:name="OLE_LINK11"/>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竞选人</w:t>
            </w:r>
            <w:r>
              <w:rPr>
                <w:rFonts w:ascii="宋体" w:hAnsi="宋体"/>
                <w:color w:val="auto"/>
                <w:kern w:val="0"/>
                <w:szCs w:val="21"/>
                <w:highlight w:val="none"/>
              </w:rPr>
              <w:t>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提出异议；</w:t>
            </w:r>
            <w:r>
              <w:rPr>
                <w:rFonts w:hint="eastAsia" w:ascii="宋体" w:hAnsi="宋体"/>
                <w:color w:val="auto"/>
                <w:kern w:val="0"/>
                <w:szCs w:val="21"/>
                <w:highlight w:val="none"/>
                <w:lang w:eastAsia="zh-CN"/>
              </w:rPr>
              <w:t>比选人</w:t>
            </w:r>
            <w:r>
              <w:rPr>
                <w:rFonts w:ascii="宋体" w:hAnsi="宋体"/>
                <w:color w:val="auto"/>
                <w:kern w:val="0"/>
                <w:szCs w:val="21"/>
                <w:highlight w:val="none"/>
              </w:rPr>
              <w:t>应当在规定时间内答复；对</w:t>
            </w:r>
            <w:r>
              <w:rPr>
                <w:rFonts w:hint="eastAsia" w:ascii="宋体" w:hAnsi="宋体"/>
                <w:color w:val="auto"/>
                <w:kern w:val="0"/>
                <w:szCs w:val="21"/>
                <w:highlight w:val="none"/>
                <w:lang w:eastAsia="zh-CN"/>
              </w:rPr>
              <w:t>比选人</w:t>
            </w:r>
            <w:r>
              <w:rPr>
                <w:rFonts w:ascii="宋体" w:hAnsi="宋体"/>
                <w:color w:val="auto"/>
                <w:kern w:val="0"/>
                <w:szCs w:val="21"/>
                <w:highlight w:val="none"/>
              </w:rPr>
              <w:t>的答复不满意，可向行政监督部门投诉。</w:t>
            </w:r>
          </w:p>
          <w:p w14:paraId="160B59E8">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0CECDBE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或投诉人的名称、地址及有效联系方式；</w:t>
            </w:r>
          </w:p>
          <w:p w14:paraId="101A4D5A">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23C9C9E8">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761ED19B">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5B2AA57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006A16C4">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3A1B008A">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1BE9DE50">
            <w:pPr>
              <w:widowControl/>
              <w:spacing w:line="400" w:lineRule="exact"/>
              <w:ind w:firstLine="420" w:firstLineChars="200"/>
              <w:rPr>
                <w:rFonts w:hint="default" w:ascii="宋体" w:hAnsi="宋体"/>
                <w:color w:val="auto"/>
                <w:kern w:val="0"/>
                <w:szCs w:val="21"/>
                <w:highlight w:val="none"/>
                <w:lang w:val="en-US"/>
              </w:rPr>
            </w:pPr>
            <w:r>
              <w:rPr>
                <w:rFonts w:hint="eastAsia" w:ascii="宋体" w:hAnsi="宋体"/>
                <w:color w:val="auto"/>
                <w:kern w:val="0"/>
                <w:szCs w:val="21"/>
                <w:highlight w:val="none"/>
              </w:rPr>
              <w:t>3.异议受理单位：</w:t>
            </w:r>
            <w:bookmarkStart w:id="131" w:name="OLE_LINK5"/>
            <w:r>
              <w:rPr>
                <w:rFonts w:hint="eastAsia" w:ascii="宋体" w:hAnsi="宋体"/>
                <w:color w:val="auto"/>
                <w:kern w:val="0"/>
                <w:szCs w:val="21"/>
                <w:highlight w:val="none"/>
                <w:lang w:eastAsia="zh-CN"/>
              </w:rPr>
              <w:t>重庆广阳岛生态城实业有限公司成本管理部</w:t>
            </w:r>
          </w:p>
          <w:bookmarkEnd w:id="131"/>
          <w:p w14:paraId="121AB010">
            <w:pPr>
              <w:widowControl/>
              <w:spacing w:line="400" w:lineRule="exact"/>
              <w:ind w:firstLine="630" w:firstLineChars="300"/>
              <w:rPr>
                <w:rFonts w:hint="eastAsia" w:ascii="宋体" w:hAnsi="宋体"/>
                <w:color w:val="auto"/>
                <w:kern w:val="0"/>
                <w:szCs w:val="21"/>
                <w:highlight w:val="none"/>
                <w:lang w:val="en-US" w:eastAsia="zh-CN"/>
              </w:rPr>
            </w:pPr>
            <w:bookmarkStart w:id="132" w:name="OLE_LINK6"/>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62823880</w:t>
            </w:r>
          </w:p>
          <w:bookmarkEnd w:id="132"/>
          <w:p w14:paraId="299F7243">
            <w:pPr>
              <w:widowControl/>
              <w:spacing w:line="400" w:lineRule="exact"/>
              <w:ind w:firstLine="630" w:firstLineChars="300"/>
              <w:rPr>
                <w:rFonts w:hint="default" w:ascii="宋体" w:hAnsi="宋体"/>
                <w:color w:val="auto"/>
                <w:kern w:val="0"/>
                <w:szCs w:val="21"/>
                <w:highlight w:val="none"/>
                <w:lang w:val="en-US"/>
              </w:rPr>
            </w:pPr>
            <w:r>
              <w:rPr>
                <w:rFonts w:hint="eastAsia"/>
                <w:color w:val="auto"/>
                <w:highlight w:val="none"/>
                <w:lang w:val="en-US" w:eastAsia="zh-CN"/>
              </w:rPr>
              <w:t>投诉受理单位：</w:t>
            </w:r>
            <w:r>
              <w:rPr>
                <w:rFonts w:hint="eastAsia" w:ascii="宋体" w:hAnsi="宋体"/>
                <w:color w:val="auto"/>
                <w:kern w:val="0"/>
                <w:szCs w:val="21"/>
                <w:highlight w:val="none"/>
                <w:lang w:eastAsia="zh-CN"/>
              </w:rPr>
              <w:t>重庆广阳湾生态城投资发展集团有限公司党群人事部。</w:t>
            </w:r>
          </w:p>
          <w:p w14:paraId="2A50A4EB">
            <w:pPr>
              <w:widowControl/>
              <w:spacing w:line="400" w:lineRule="exact"/>
              <w:ind w:firstLine="630" w:firstLineChars="300"/>
              <w:rPr>
                <w:rFonts w:hint="default"/>
                <w:color w:val="auto"/>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62632090</w:t>
            </w:r>
            <w:bookmarkEnd w:id="130"/>
          </w:p>
        </w:tc>
      </w:tr>
      <w:tr w14:paraId="4F549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14:paraId="65723E9B">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vMerge w:val="restart"/>
            <w:vAlign w:val="center"/>
          </w:tcPr>
          <w:p w14:paraId="6BE8D3C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14:paraId="033F9B75">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val="en-US" w:eastAsia="zh-CN"/>
              </w:rPr>
              <w:t>项目招标</w:t>
            </w:r>
            <w:r>
              <w:rPr>
                <w:rFonts w:hint="eastAsia" w:ascii="宋体" w:hAnsi="宋体" w:eastAsia="宋体" w:cs="Times New Roman"/>
                <w:color w:val="auto"/>
                <w:kern w:val="0"/>
                <w:szCs w:val="21"/>
                <w:highlight w:val="none"/>
              </w:rPr>
              <w:t>代理费</w:t>
            </w:r>
            <w:r>
              <w:rPr>
                <w:rFonts w:hint="eastAsia" w:ascii="宋体" w:hAnsi="宋体" w:cs="Times New Roman"/>
                <w:color w:val="auto"/>
                <w:kern w:val="0"/>
                <w:szCs w:val="21"/>
                <w:highlight w:val="none"/>
                <w:lang w:val="en-US" w:eastAsia="zh-CN"/>
              </w:rPr>
              <w:t>为10000.00元</w:t>
            </w:r>
            <w:r>
              <w:rPr>
                <w:rFonts w:hint="eastAsia" w:ascii="宋体" w:hAnsi="宋体" w:eastAsia="宋体" w:cs="Times New Roman"/>
                <w:color w:val="auto"/>
                <w:kern w:val="0"/>
                <w:szCs w:val="21"/>
                <w:highlight w:val="none"/>
              </w:rPr>
              <w:t>，由中标单位在领取中标通知书时一次性向招标代理公司支付。</w:t>
            </w:r>
          </w:p>
          <w:p w14:paraId="020E1499">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该费用竞标人自行考虑在竞标报价中，比选人不单独支付费用。</w:t>
            </w:r>
          </w:p>
        </w:tc>
      </w:tr>
      <w:tr w14:paraId="480DF6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14:paraId="60D5F494">
            <w:pPr>
              <w:snapToGrid w:val="0"/>
              <w:spacing w:line="400" w:lineRule="exact"/>
              <w:jc w:val="center"/>
              <w:rPr>
                <w:rFonts w:hint="eastAsia" w:ascii="宋体" w:hAnsi="宋体"/>
                <w:color w:val="auto"/>
                <w:kern w:val="0"/>
                <w:szCs w:val="21"/>
                <w:highlight w:val="none"/>
              </w:rPr>
            </w:pPr>
            <w:bookmarkStart w:id="133" w:name="_Toc430530435"/>
            <w:bookmarkStart w:id="134" w:name="_Toc200513126"/>
            <w:bookmarkStart w:id="135" w:name="_Toc287607746"/>
            <w:bookmarkStart w:id="136" w:name="_Toc277082552"/>
            <w:bookmarkStart w:id="137" w:name="_Toc224103317"/>
            <w:bookmarkStart w:id="138" w:name="_Toc287620685"/>
          </w:p>
        </w:tc>
        <w:tc>
          <w:tcPr>
            <w:tcW w:w="1644" w:type="dxa"/>
            <w:vMerge w:val="continue"/>
            <w:vAlign w:val="center"/>
          </w:tcPr>
          <w:p w14:paraId="5331F198">
            <w:pPr>
              <w:snapToGrid w:val="0"/>
              <w:spacing w:line="400" w:lineRule="exact"/>
              <w:jc w:val="center"/>
              <w:rPr>
                <w:rFonts w:hint="eastAsia" w:ascii="宋体" w:hAnsi="宋体"/>
                <w:color w:val="auto"/>
                <w:kern w:val="0"/>
                <w:szCs w:val="21"/>
                <w:highlight w:val="none"/>
              </w:rPr>
            </w:pPr>
          </w:p>
        </w:tc>
        <w:tc>
          <w:tcPr>
            <w:tcW w:w="6490" w:type="dxa"/>
            <w:vAlign w:val="center"/>
          </w:tcPr>
          <w:p w14:paraId="6FB631FD">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比选文件每套售</w:t>
            </w:r>
            <w:r>
              <w:rPr>
                <w:rFonts w:hint="eastAsia" w:ascii="宋体" w:hAnsi="宋体" w:cs="Times New Roman"/>
                <w:color w:val="auto"/>
                <w:kern w:val="0"/>
                <w:szCs w:val="21"/>
                <w:highlight w:val="none"/>
                <w:lang w:val="en-US" w:eastAsia="zh-CN"/>
              </w:rPr>
              <w:t>500</w:t>
            </w:r>
            <w:r>
              <w:rPr>
                <w:rFonts w:hint="eastAsia" w:ascii="宋体" w:hAnsi="宋体" w:eastAsia="宋体" w:cs="Times New Roman"/>
                <w:color w:val="auto"/>
                <w:kern w:val="0"/>
                <w:szCs w:val="21"/>
                <w:highlight w:val="none"/>
              </w:rPr>
              <w:t>元，售后不退。投标人递交投标文件时支付比选文件的费用，否则比选人和比选代理机构将不予接收其投标文件。</w:t>
            </w:r>
          </w:p>
        </w:tc>
      </w:tr>
    </w:tbl>
    <w:p w14:paraId="29C080DC">
      <w:pPr>
        <w:pStyle w:val="5"/>
        <w:spacing w:before="0" w:after="0" w:line="20" w:lineRule="exact"/>
        <w:rPr>
          <w:rFonts w:ascii="宋体" w:hAnsi="宋体"/>
          <w:b w:val="0"/>
          <w:snapToGrid w:val="0"/>
          <w:color w:val="auto"/>
          <w:highlight w:val="none"/>
        </w:rPr>
      </w:pPr>
    </w:p>
    <w:p w14:paraId="525E3367">
      <w:pPr>
        <w:pStyle w:val="5"/>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bookmarkEnd w:id="133"/>
    <w:bookmarkEnd w:id="134"/>
    <w:bookmarkEnd w:id="135"/>
    <w:bookmarkEnd w:id="136"/>
    <w:bookmarkEnd w:id="137"/>
    <w:bookmarkEnd w:id="138"/>
    <w:p w14:paraId="1664B19D">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9" w:name="_Toc19008"/>
      <w:bookmarkStart w:id="140" w:name="_Toc24172"/>
      <w:r>
        <w:rPr>
          <w:rFonts w:hint="eastAsia" w:ascii="宋体" w:hAnsi="宋体" w:eastAsia="宋体" w:cs="宋体"/>
          <w:color w:val="auto"/>
          <w:sz w:val="21"/>
          <w:szCs w:val="21"/>
          <w:highlight w:val="none"/>
        </w:rPr>
        <w:t>1.总则</w:t>
      </w:r>
      <w:bookmarkEnd w:id="139"/>
      <w:bookmarkEnd w:id="140"/>
    </w:p>
    <w:p w14:paraId="573B989A">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1" w:name="_Toc9752"/>
      <w:bookmarkStart w:id="142" w:name="_Toc15688"/>
      <w:bookmarkStart w:id="143" w:name="_Toc293756837"/>
      <w:bookmarkStart w:id="144" w:name="_Toc293756840"/>
      <w:r>
        <w:rPr>
          <w:rFonts w:hint="eastAsia" w:ascii="宋体" w:hAnsi="宋体" w:eastAsia="宋体" w:cs="宋体"/>
          <w:color w:val="auto"/>
          <w:sz w:val="21"/>
          <w:szCs w:val="21"/>
          <w:highlight w:val="none"/>
        </w:rPr>
        <w:t>1.1 项目概况</w:t>
      </w:r>
      <w:bookmarkEnd w:id="141"/>
      <w:bookmarkEnd w:id="142"/>
      <w:bookmarkEnd w:id="143"/>
    </w:p>
    <w:p w14:paraId="060FAEA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14:paraId="40E28D4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w:t>
      </w:r>
      <w:r>
        <w:rPr>
          <w:rFonts w:hint="eastAsia" w:ascii="宋体" w:hAnsi="宋体" w:cs="宋体"/>
          <w:color w:val="auto"/>
          <w:sz w:val="21"/>
          <w:szCs w:val="21"/>
          <w:highlight w:val="none"/>
          <w:lang w:eastAsia="zh-CN"/>
        </w:rPr>
        <w:t>服务地点</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70FB619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14:paraId="46EFD37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14:paraId="28D03C8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w:t>
      </w:r>
      <w:r>
        <w:rPr>
          <w:rFonts w:hint="eastAsia" w:ascii="宋体" w:hAnsi="宋体" w:cs="宋体"/>
          <w:color w:val="auto"/>
          <w:sz w:val="21"/>
          <w:szCs w:val="21"/>
          <w:highlight w:val="none"/>
          <w:lang w:eastAsia="zh-CN"/>
        </w:rPr>
        <w:t>服务地点</w:t>
      </w:r>
      <w:r>
        <w:rPr>
          <w:rFonts w:hint="eastAsia" w:ascii="宋体" w:hAnsi="宋体" w:eastAsia="宋体" w:cs="宋体"/>
          <w:color w:val="auto"/>
          <w:sz w:val="21"/>
          <w:szCs w:val="21"/>
          <w:highlight w:val="none"/>
        </w:rPr>
        <w:t>：见投标人须知前附表。</w:t>
      </w:r>
    </w:p>
    <w:p w14:paraId="1CF780B8">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本招标项目建设规模：见投标人须知前附表。</w:t>
      </w:r>
    </w:p>
    <w:p w14:paraId="0667F64A">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5" w:name="_Toc293756838"/>
      <w:bookmarkStart w:id="146" w:name="_Toc5437"/>
      <w:bookmarkStart w:id="147" w:name="_Toc30809"/>
      <w:r>
        <w:rPr>
          <w:rFonts w:hint="eastAsia" w:ascii="宋体" w:hAnsi="宋体" w:eastAsia="宋体" w:cs="宋体"/>
          <w:color w:val="auto"/>
          <w:sz w:val="21"/>
          <w:szCs w:val="21"/>
          <w:highlight w:val="none"/>
        </w:rPr>
        <w:t>1.2 资金来源和落实情况</w:t>
      </w:r>
      <w:bookmarkEnd w:id="145"/>
      <w:bookmarkEnd w:id="146"/>
      <w:bookmarkEnd w:id="147"/>
    </w:p>
    <w:p w14:paraId="3667E99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48" w:name="_Toc293756839"/>
      <w:r>
        <w:rPr>
          <w:rFonts w:hint="eastAsia" w:ascii="宋体" w:hAnsi="宋体" w:eastAsia="宋体" w:cs="宋体"/>
          <w:color w:val="auto"/>
          <w:sz w:val="21"/>
          <w:szCs w:val="21"/>
          <w:highlight w:val="none"/>
        </w:rPr>
        <w:t>1.2.1  本招标项目的资金来源：见投标人须知前附表。</w:t>
      </w:r>
    </w:p>
    <w:p w14:paraId="4424712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14:paraId="2CD1C3B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14:paraId="628FBC05">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9" w:name="_Toc19957"/>
      <w:bookmarkStart w:id="150" w:name="_Toc32556"/>
      <w:r>
        <w:rPr>
          <w:rFonts w:hint="eastAsia" w:ascii="宋体" w:hAnsi="宋体" w:eastAsia="宋体" w:cs="宋体"/>
          <w:color w:val="auto"/>
          <w:sz w:val="21"/>
          <w:szCs w:val="21"/>
          <w:highlight w:val="none"/>
        </w:rPr>
        <w:t>1.3 比选范围、</w:t>
      </w:r>
      <w:r>
        <w:rPr>
          <w:rFonts w:hint="eastAsia" w:ascii="宋体" w:hAnsi="宋体" w:cs="宋体"/>
          <w:color w:val="auto"/>
          <w:sz w:val="21"/>
          <w:szCs w:val="21"/>
          <w:highlight w:val="none"/>
          <w:lang w:eastAsia="zh-CN"/>
        </w:rPr>
        <w:t>计划服务期</w:t>
      </w:r>
      <w:r>
        <w:rPr>
          <w:rFonts w:hint="eastAsia" w:ascii="宋体" w:hAnsi="宋体" w:eastAsia="宋体" w:cs="宋体"/>
          <w:color w:val="auto"/>
          <w:sz w:val="21"/>
          <w:szCs w:val="21"/>
          <w:highlight w:val="none"/>
        </w:rPr>
        <w:t>和质量要求</w:t>
      </w:r>
      <w:bookmarkEnd w:id="148"/>
      <w:bookmarkEnd w:id="149"/>
      <w:bookmarkEnd w:id="150"/>
    </w:p>
    <w:p w14:paraId="19C1965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14:paraId="37F1E5E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1.3.2  </w:t>
      </w:r>
      <w:r>
        <w:rPr>
          <w:rFonts w:hint="eastAsia" w:ascii="宋体" w:hAnsi="宋体" w:cs="宋体"/>
          <w:color w:val="auto"/>
          <w:sz w:val="21"/>
          <w:szCs w:val="21"/>
          <w:highlight w:val="none"/>
          <w:lang w:eastAsia="zh-CN"/>
        </w:rPr>
        <w:t>计划服务期</w:t>
      </w:r>
      <w:r>
        <w:rPr>
          <w:rFonts w:hint="eastAsia" w:ascii="宋体" w:hAnsi="宋体" w:eastAsia="宋体" w:cs="宋体"/>
          <w:color w:val="auto"/>
          <w:sz w:val="21"/>
          <w:szCs w:val="21"/>
          <w:highlight w:val="none"/>
        </w:rPr>
        <w:t>：见投标人须知前附表。</w:t>
      </w:r>
    </w:p>
    <w:p w14:paraId="45572F0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14:paraId="3F9135B4">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1" w:name="_Toc9928"/>
      <w:bookmarkStart w:id="152" w:name="_Toc17870"/>
      <w:r>
        <w:rPr>
          <w:rFonts w:hint="eastAsia" w:ascii="宋体" w:hAnsi="宋体" w:eastAsia="宋体" w:cs="宋体"/>
          <w:color w:val="auto"/>
          <w:sz w:val="21"/>
          <w:szCs w:val="21"/>
          <w:highlight w:val="none"/>
        </w:rPr>
        <w:t xml:space="preserve">1.4 </w:t>
      </w:r>
      <w:bookmarkEnd w:id="144"/>
      <w:r>
        <w:rPr>
          <w:rFonts w:hint="eastAsia" w:ascii="宋体" w:hAnsi="宋体" w:eastAsia="宋体" w:cs="宋体"/>
          <w:color w:val="auto"/>
          <w:sz w:val="21"/>
          <w:szCs w:val="21"/>
          <w:highlight w:val="none"/>
          <w:lang w:eastAsia="zh-CN"/>
        </w:rPr>
        <w:t>投标人资格要求</w:t>
      </w:r>
      <w:bookmarkEnd w:id="151"/>
      <w:bookmarkEnd w:id="152"/>
    </w:p>
    <w:p w14:paraId="0B954B5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0B32479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4A0CCB4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52E5A6C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77928E7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）其他要求：见投标人须知前附表。</w:t>
      </w:r>
    </w:p>
    <w:p w14:paraId="059CE8E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14:paraId="7F7D08E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14:paraId="672B3AD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14:paraId="3D4A275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14:paraId="7B96F2E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14:paraId="0F2C9FC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14:paraId="20F237F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14:paraId="4EF5563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14:paraId="7D3C125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14:paraId="4AE42DB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14:paraId="35A43BC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14:paraId="6A6A2A8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14:paraId="6654BE8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14:paraId="3D0C9B7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14:paraId="36AAA173">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3" w:name="_Toc5895"/>
      <w:bookmarkStart w:id="154" w:name="_Toc4874"/>
      <w:bookmarkStart w:id="155" w:name="_Toc293756841"/>
      <w:r>
        <w:rPr>
          <w:rFonts w:hint="eastAsia" w:ascii="宋体" w:hAnsi="宋体" w:eastAsia="宋体" w:cs="宋体"/>
          <w:color w:val="auto"/>
          <w:sz w:val="21"/>
          <w:szCs w:val="21"/>
          <w:highlight w:val="none"/>
        </w:rPr>
        <w:t>1.5 费用承担</w:t>
      </w:r>
      <w:bookmarkEnd w:id="153"/>
      <w:bookmarkEnd w:id="154"/>
      <w:bookmarkEnd w:id="155"/>
    </w:p>
    <w:p w14:paraId="01B2EBF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14:paraId="60E738B0">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6" w:name="_Toc293756842"/>
      <w:bookmarkStart w:id="157" w:name="_Toc11009"/>
      <w:bookmarkStart w:id="158" w:name="_Toc20653"/>
      <w:r>
        <w:rPr>
          <w:rFonts w:hint="eastAsia" w:ascii="宋体" w:hAnsi="宋体" w:eastAsia="宋体" w:cs="宋体"/>
          <w:color w:val="auto"/>
          <w:sz w:val="21"/>
          <w:szCs w:val="21"/>
          <w:highlight w:val="none"/>
        </w:rPr>
        <w:t>1.6 保密</w:t>
      </w:r>
      <w:bookmarkEnd w:id="156"/>
      <w:bookmarkEnd w:id="157"/>
      <w:bookmarkEnd w:id="158"/>
    </w:p>
    <w:p w14:paraId="783FD6C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14:paraId="65DB9575">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9" w:name="_Toc1463"/>
      <w:bookmarkStart w:id="160" w:name="_Toc293756843"/>
      <w:bookmarkStart w:id="161" w:name="_Toc18963"/>
      <w:r>
        <w:rPr>
          <w:rFonts w:hint="eastAsia" w:ascii="宋体" w:hAnsi="宋体" w:eastAsia="宋体" w:cs="宋体"/>
          <w:color w:val="auto"/>
          <w:sz w:val="21"/>
          <w:szCs w:val="21"/>
          <w:highlight w:val="none"/>
        </w:rPr>
        <w:t>1.7 语言文字</w:t>
      </w:r>
      <w:bookmarkEnd w:id="159"/>
      <w:bookmarkEnd w:id="160"/>
      <w:bookmarkEnd w:id="161"/>
    </w:p>
    <w:p w14:paraId="3CDFF18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14:paraId="5C18FAA6">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2" w:name="_Toc17114"/>
      <w:bookmarkStart w:id="163" w:name="_Toc293756844"/>
      <w:bookmarkStart w:id="164" w:name="_Toc104"/>
      <w:r>
        <w:rPr>
          <w:rFonts w:hint="eastAsia" w:ascii="宋体" w:hAnsi="宋体" w:eastAsia="宋体" w:cs="宋体"/>
          <w:color w:val="auto"/>
          <w:sz w:val="21"/>
          <w:szCs w:val="21"/>
          <w:highlight w:val="none"/>
        </w:rPr>
        <w:t>1.8 计量单位</w:t>
      </w:r>
      <w:bookmarkEnd w:id="162"/>
      <w:bookmarkEnd w:id="163"/>
      <w:bookmarkEnd w:id="164"/>
    </w:p>
    <w:p w14:paraId="1D1FA16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141D3C94">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5" w:name="_Toc2427"/>
      <w:bookmarkStart w:id="166" w:name="_Toc12321"/>
      <w:bookmarkStart w:id="167" w:name="_Toc293756845"/>
      <w:r>
        <w:rPr>
          <w:rFonts w:hint="eastAsia" w:ascii="宋体" w:hAnsi="宋体" w:eastAsia="宋体" w:cs="宋体"/>
          <w:color w:val="auto"/>
          <w:sz w:val="21"/>
          <w:szCs w:val="21"/>
          <w:highlight w:val="none"/>
        </w:rPr>
        <w:t>1.9 踏勘现场</w:t>
      </w:r>
      <w:bookmarkEnd w:id="165"/>
      <w:bookmarkEnd w:id="166"/>
      <w:bookmarkEnd w:id="167"/>
    </w:p>
    <w:p w14:paraId="262BAA0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14:paraId="539E11A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14:paraId="6B2418D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14:paraId="741124F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14:paraId="5466210B">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8" w:name="_Toc293756846"/>
      <w:bookmarkStart w:id="169" w:name="_Toc30203"/>
      <w:bookmarkStart w:id="170" w:name="_Toc3560"/>
      <w:r>
        <w:rPr>
          <w:rFonts w:hint="eastAsia" w:ascii="宋体" w:hAnsi="宋体" w:eastAsia="宋体" w:cs="宋体"/>
          <w:color w:val="auto"/>
          <w:sz w:val="21"/>
          <w:szCs w:val="21"/>
          <w:highlight w:val="none"/>
        </w:rPr>
        <w:t>1.10 比选预备会</w:t>
      </w:r>
      <w:bookmarkEnd w:id="168"/>
      <w:bookmarkEnd w:id="169"/>
      <w:bookmarkEnd w:id="170"/>
    </w:p>
    <w:p w14:paraId="2C5627A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14:paraId="1B1E93D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14:paraId="4F01629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14:paraId="14A4C33B">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1" w:name="_Toc13696"/>
      <w:bookmarkStart w:id="172" w:name="_Toc293756847"/>
      <w:bookmarkStart w:id="173" w:name="_Toc2223"/>
      <w:r>
        <w:rPr>
          <w:rFonts w:hint="eastAsia" w:ascii="宋体" w:hAnsi="宋体" w:eastAsia="宋体" w:cs="宋体"/>
          <w:color w:val="auto"/>
          <w:sz w:val="21"/>
          <w:szCs w:val="21"/>
          <w:highlight w:val="none"/>
        </w:rPr>
        <w:t>1.11 分包</w:t>
      </w:r>
      <w:bookmarkEnd w:id="171"/>
      <w:bookmarkEnd w:id="172"/>
      <w:bookmarkEnd w:id="173"/>
    </w:p>
    <w:p w14:paraId="22B5E21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不允许</w:t>
      </w:r>
      <w:r>
        <w:rPr>
          <w:rFonts w:hint="eastAsia" w:ascii="宋体" w:hAnsi="宋体" w:eastAsia="宋体" w:cs="宋体"/>
          <w:color w:val="auto"/>
          <w:sz w:val="21"/>
          <w:szCs w:val="21"/>
          <w:highlight w:val="none"/>
        </w:rPr>
        <w:t>。</w:t>
      </w:r>
    </w:p>
    <w:p w14:paraId="27D6C933">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14:paraId="29E1706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14:paraId="517859F9">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4" w:name="_Toc3385"/>
      <w:bookmarkStart w:id="175" w:name="_Toc21334"/>
      <w:r>
        <w:rPr>
          <w:rFonts w:hint="eastAsia" w:ascii="宋体" w:hAnsi="宋体" w:eastAsia="宋体" w:cs="宋体"/>
          <w:color w:val="auto"/>
          <w:sz w:val="21"/>
          <w:szCs w:val="21"/>
          <w:highlight w:val="none"/>
        </w:rPr>
        <w:t>2.比选文件</w:t>
      </w:r>
      <w:bookmarkEnd w:id="174"/>
      <w:bookmarkEnd w:id="175"/>
    </w:p>
    <w:p w14:paraId="3621CE9B">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6" w:name="_Toc25177"/>
      <w:bookmarkStart w:id="177" w:name="_Toc293756848"/>
      <w:bookmarkStart w:id="178" w:name="_Toc19819"/>
      <w:r>
        <w:rPr>
          <w:rFonts w:hint="eastAsia" w:ascii="宋体" w:hAnsi="宋体" w:eastAsia="宋体" w:cs="宋体"/>
          <w:color w:val="auto"/>
          <w:sz w:val="21"/>
          <w:szCs w:val="21"/>
          <w:highlight w:val="none"/>
        </w:rPr>
        <w:t>2.1比选文件的组成</w:t>
      </w:r>
      <w:bookmarkEnd w:id="176"/>
      <w:bookmarkEnd w:id="177"/>
      <w:bookmarkEnd w:id="178"/>
    </w:p>
    <w:p w14:paraId="3864621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14:paraId="2BF6B98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14:paraId="2E1B4A2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14:paraId="30E734F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14:paraId="2170F5B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14:paraId="5159D6A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）技术标准和要求；</w:t>
      </w:r>
    </w:p>
    <w:p w14:paraId="6B42B5B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）投标文件格式；</w:t>
      </w:r>
    </w:p>
    <w:p w14:paraId="20EAC50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）投标人须知前附表规定的其他材料。</w:t>
      </w:r>
    </w:p>
    <w:p w14:paraId="4EB78BF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14:paraId="5F93EBB7">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9" w:name="_Toc17073"/>
      <w:bookmarkStart w:id="180" w:name="_Toc293756849"/>
      <w:bookmarkStart w:id="181" w:name="_Toc24087"/>
      <w:r>
        <w:rPr>
          <w:rFonts w:hint="eastAsia" w:ascii="宋体" w:hAnsi="宋体" w:eastAsia="宋体" w:cs="宋体"/>
          <w:color w:val="auto"/>
          <w:sz w:val="21"/>
          <w:szCs w:val="21"/>
          <w:highlight w:val="none"/>
        </w:rPr>
        <w:t>2.2比选文件的澄清</w:t>
      </w:r>
      <w:bookmarkEnd w:id="179"/>
      <w:bookmarkEnd w:id="180"/>
      <w:bookmarkEnd w:id="181"/>
    </w:p>
    <w:p w14:paraId="62E3360C">
      <w:pPr>
        <w:pageBreakBefore w:val="0"/>
        <w:shd w:val="clea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snapToGrid w:val="0"/>
          <w:color w:val="auto"/>
          <w:kern w:val="0"/>
          <w:szCs w:val="21"/>
          <w:highlight w:val="none"/>
          <w:u w:val="none"/>
          <w:lang w:val="en-US" w:eastAsia="zh-CN"/>
        </w:rPr>
        <w:t>向代理机构或比选人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14:paraId="74C19873">
      <w:pPr>
        <w:pageBreakBefore w:val="0"/>
        <w:shd w:val="clea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天前</w:t>
      </w:r>
      <w:r>
        <w:rPr>
          <w:rFonts w:hint="eastAsia" w:ascii="宋体" w:hAnsi="宋体" w:eastAsia="宋体" w:cs="宋体"/>
          <w:color w:val="auto"/>
          <w:sz w:val="21"/>
          <w:szCs w:val="21"/>
          <w:highlight w:val="none"/>
          <w:u w:val="none"/>
        </w:rPr>
        <w:t>在行采家(https://www.gec123.com/）</w:t>
      </w:r>
      <w:r>
        <w:rPr>
          <w:rFonts w:hint="eastAsia" w:ascii="宋体" w:hAnsi="宋体" w:cs="宋体"/>
          <w:color w:val="auto"/>
          <w:sz w:val="21"/>
          <w:szCs w:val="21"/>
          <w:highlight w:val="none"/>
          <w:u w:val="none"/>
          <w:lang w:eastAsia="zh-CN"/>
        </w:rPr>
        <w:t>、</w:t>
      </w:r>
      <w:r>
        <w:rPr>
          <w:rFonts w:hint="eastAsia" w:ascii="宋体" w:hAnsi="宋体"/>
          <w:snapToGrid w:val="0"/>
          <w:color w:val="auto"/>
          <w:kern w:val="0"/>
          <w:szCs w:val="21"/>
          <w:highlight w:val="none"/>
          <w:lang w:eastAsia="zh-CN"/>
        </w:rPr>
        <w:t>重庆广阳湾生态城投资发展集团有限公司官网（http://cq-gyw.com/）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天，相应延长投标截止时间。</w:t>
      </w:r>
    </w:p>
    <w:p w14:paraId="4CF9C4C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日的，须相应延后投标截止时间。</w:t>
      </w:r>
    </w:p>
    <w:p w14:paraId="3B692325">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82" w:name="_Toc25781"/>
      <w:bookmarkStart w:id="183" w:name="_Toc293756850"/>
      <w:bookmarkStart w:id="184" w:name="_Toc18491"/>
      <w:r>
        <w:rPr>
          <w:rFonts w:hint="eastAsia" w:ascii="宋体" w:hAnsi="宋体" w:eastAsia="宋体" w:cs="宋体"/>
          <w:color w:val="auto"/>
          <w:sz w:val="21"/>
          <w:szCs w:val="21"/>
          <w:highlight w:val="none"/>
        </w:rPr>
        <w:t>2.3比选文件的修改</w:t>
      </w:r>
      <w:bookmarkEnd w:id="182"/>
      <w:bookmarkEnd w:id="183"/>
      <w:bookmarkEnd w:id="184"/>
    </w:p>
    <w:p w14:paraId="114C9CE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14:paraId="6B7ECE46">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85" w:name="_Toc17803"/>
      <w:bookmarkStart w:id="186" w:name="_Toc293756851"/>
      <w:bookmarkStart w:id="187" w:name="_Toc13298"/>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85"/>
      <w:bookmarkEnd w:id="186"/>
      <w:bookmarkEnd w:id="187"/>
    </w:p>
    <w:p w14:paraId="3FD804B5">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88" w:name="_Toc27406"/>
      <w:bookmarkStart w:id="189" w:name="_Toc293756852"/>
      <w:bookmarkStart w:id="190" w:name="_Toc10706"/>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88"/>
      <w:bookmarkEnd w:id="189"/>
      <w:bookmarkEnd w:id="190"/>
    </w:p>
    <w:p w14:paraId="5851615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14:paraId="433711F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）竞选函</w:t>
      </w:r>
      <w:r>
        <w:rPr>
          <w:rFonts w:hint="eastAsia" w:ascii="宋体" w:hAnsi="宋体" w:cs="宋体"/>
          <w:color w:val="auto"/>
          <w:sz w:val="21"/>
          <w:szCs w:val="21"/>
          <w:highlight w:val="none"/>
          <w:lang w:eastAsia="zh-CN"/>
        </w:rPr>
        <w:t>；</w:t>
      </w:r>
    </w:p>
    <w:p w14:paraId="7AEB0DE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）法定代表人身份证明或附有法定代表人身份证明的授权委托书</w:t>
      </w:r>
      <w:r>
        <w:rPr>
          <w:rFonts w:hint="eastAsia" w:ascii="宋体" w:hAnsi="宋体" w:cs="宋体"/>
          <w:color w:val="auto"/>
          <w:sz w:val="21"/>
          <w:szCs w:val="21"/>
          <w:highlight w:val="none"/>
          <w:lang w:eastAsia="zh-CN"/>
        </w:rPr>
        <w:t>；</w:t>
      </w:r>
    </w:p>
    <w:p w14:paraId="4F53767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）项目拟派人员</w:t>
      </w:r>
      <w:r>
        <w:rPr>
          <w:rFonts w:hint="eastAsia" w:ascii="宋体" w:hAnsi="宋体" w:cs="宋体"/>
          <w:color w:val="auto"/>
          <w:sz w:val="21"/>
          <w:szCs w:val="21"/>
          <w:highlight w:val="none"/>
          <w:lang w:eastAsia="zh-CN"/>
        </w:rPr>
        <w:t>；</w:t>
      </w:r>
    </w:p>
    <w:p w14:paraId="05256EB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）类似项目情况表</w:t>
      </w:r>
      <w:r>
        <w:rPr>
          <w:rFonts w:hint="eastAsia" w:ascii="宋体" w:hAnsi="宋体" w:cs="宋体"/>
          <w:color w:val="auto"/>
          <w:sz w:val="21"/>
          <w:szCs w:val="21"/>
          <w:highlight w:val="none"/>
          <w:lang w:eastAsia="zh-CN"/>
        </w:rPr>
        <w:t>；</w:t>
      </w:r>
    </w:p>
    <w:p w14:paraId="564C8FD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）承诺</w:t>
      </w:r>
      <w:r>
        <w:rPr>
          <w:rFonts w:hint="eastAsia" w:ascii="宋体" w:hAnsi="宋体" w:cs="宋体"/>
          <w:color w:val="auto"/>
          <w:sz w:val="21"/>
          <w:szCs w:val="21"/>
          <w:highlight w:val="none"/>
          <w:lang w:eastAsia="zh-CN"/>
        </w:rPr>
        <w:t>；</w:t>
      </w:r>
    </w:p>
    <w:p w14:paraId="4B3745B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）技术方案</w:t>
      </w:r>
      <w:r>
        <w:rPr>
          <w:rFonts w:hint="eastAsia" w:ascii="宋体" w:hAnsi="宋体" w:cs="宋体"/>
          <w:color w:val="auto"/>
          <w:sz w:val="21"/>
          <w:szCs w:val="21"/>
          <w:highlight w:val="none"/>
          <w:lang w:eastAsia="zh-CN"/>
        </w:rPr>
        <w:t>；</w:t>
      </w:r>
    </w:p>
    <w:p w14:paraId="619B041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）其他资料；</w:t>
      </w:r>
    </w:p>
    <w:p w14:paraId="56784B5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）投标人须知前附表规定的其他材料。</w:t>
      </w:r>
    </w:p>
    <w:p w14:paraId="3D25287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14:paraId="7A6FF68F">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91" w:name="_Toc18735"/>
      <w:bookmarkStart w:id="192" w:name="_Toc312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91"/>
      <w:bookmarkEnd w:id="192"/>
    </w:p>
    <w:p w14:paraId="77020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投标人应按</w:t>
      </w:r>
      <w:r>
        <w:rPr>
          <w:rFonts w:hint="eastAsia" w:ascii="宋体" w:hAnsi="宋体" w:cs="宋体"/>
          <w:color w:val="auto"/>
          <w:sz w:val="21"/>
          <w:szCs w:val="21"/>
          <w:highlight w:val="none"/>
          <w:lang w:val="en-US" w:eastAsia="zh-CN"/>
        </w:rPr>
        <w:t>比选文件</w:t>
      </w:r>
      <w:r>
        <w:rPr>
          <w:rFonts w:hint="eastAsia" w:ascii="宋体" w:hAnsi="宋体" w:eastAsia="宋体" w:cs="宋体"/>
          <w:color w:val="auto"/>
          <w:sz w:val="21"/>
          <w:szCs w:val="21"/>
          <w:highlight w:val="none"/>
        </w:rPr>
        <w:t>要求填写相应表格。</w:t>
      </w:r>
    </w:p>
    <w:p w14:paraId="557771EA">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93" w:name="_Toc7504"/>
      <w:bookmarkStart w:id="194" w:name="_Toc3741"/>
      <w:r>
        <w:rPr>
          <w:rFonts w:hint="eastAsia" w:ascii="宋体" w:hAnsi="宋体" w:eastAsia="宋体" w:cs="宋体"/>
          <w:color w:val="auto"/>
          <w:sz w:val="21"/>
          <w:szCs w:val="21"/>
          <w:highlight w:val="none"/>
          <w:lang w:val="en-US" w:eastAsia="zh-CN"/>
        </w:rPr>
        <w:t>3.3  投标有效期</w:t>
      </w:r>
      <w:bookmarkEnd w:id="193"/>
      <w:bookmarkEnd w:id="194"/>
    </w:p>
    <w:p w14:paraId="288114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14:paraId="4ED33A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3501748">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95" w:name="_Toc8270"/>
      <w:bookmarkStart w:id="196" w:name="_Toc293756853"/>
      <w:bookmarkStart w:id="197" w:name="_Toc5887"/>
      <w:r>
        <w:rPr>
          <w:rFonts w:hint="eastAsia" w:ascii="宋体" w:hAnsi="宋体" w:eastAsia="宋体" w:cs="宋体"/>
          <w:color w:val="auto"/>
          <w:sz w:val="21"/>
          <w:szCs w:val="21"/>
          <w:highlight w:val="none"/>
        </w:rPr>
        <w:t>3.4 比选保证金</w:t>
      </w:r>
      <w:bookmarkEnd w:id="195"/>
      <w:bookmarkEnd w:id="196"/>
      <w:bookmarkEnd w:id="197"/>
    </w:p>
    <w:p w14:paraId="25DA8DA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14:paraId="4EA7F07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14:paraId="6997CDE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14:paraId="10603FD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14:paraId="266CD12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14:paraId="7FF978F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14:paraId="25745AD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14:paraId="6450A55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14:paraId="4070FB0E">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14:paraId="55678E30">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98" w:name="_Toc250"/>
      <w:bookmarkStart w:id="199" w:name="_Toc293756854"/>
      <w:bookmarkStart w:id="200" w:name="_Toc24991"/>
      <w:r>
        <w:rPr>
          <w:rFonts w:hint="eastAsia" w:ascii="宋体" w:hAnsi="宋体" w:eastAsia="宋体" w:cs="宋体"/>
          <w:color w:val="auto"/>
          <w:sz w:val="21"/>
          <w:szCs w:val="21"/>
          <w:highlight w:val="none"/>
        </w:rPr>
        <w:t>3.5 资格审查资料</w:t>
      </w:r>
      <w:bookmarkEnd w:id="198"/>
      <w:bookmarkEnd w:id="199"/>
      <w:bookmarkEnd w:id="200"/>
    </w:p>
    <w:p w14:paraId="6381420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14:paraId="5BD56C8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14:paraId="32E0F8C6">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14:paraId="73279AE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14:paraId="09ECB2BE">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14:paraId="7FAD7C2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01" w:name="_Toc293756855"/>
      <w:r>
        <w:rPr>
          <w:rFonts w:hint="eastAsia" w:ascii="宋体" w:hAnsi="宋体" w:eastAsia="宋体" w:cs="宋体"/>
          <w:color w:val="auto"/>
          <w:sz w:val="21"/>
          <w:szCs w:val="21"/>
          <w:highlight w:val="none"/>
        </w:rPr>
        <w:t>3.7.1  投标文件应按第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14:paraId="6B8B9BA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14:paraId="77FF683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14:paraId="674F3C0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14:paraId="301CBE8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14:paraId="5DF7352D">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02" w:name="_Toc29539"/>
      <w:bookmarkStart w:id="203" w:name="_Toc10924"/>
      <w:r>
        <w:rPr>
          <w:rFonts w:hint="eastAsia" w:ascii="宋体" w:hAnsi="宋体" w:eastAsia="宋体" w:cs="宋体"/>
          <w:color w:val="auto"/>
          <w:sz w:val="21"/>
          <w:szCs w:val="21"/>
          <w:highlight w:val="none"/>
        </w:rPr>
        <w:t xml:space="preserve">4. </w:t>
      </w:r>
      <w:bookmarkEnd w:id="201"/>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202"/>
      <w:bookmarkEnd w:id="203"/>
    </w:p>
    <w:p w14:paraId="09E62F50">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4" w:name="_Toc25512"/>
      <w:bookmarkStart w:id="205" w:name="_Toc24345"/>
      <w:bookmarkStart w:id="206" w:name="_Toc293756856"/>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204"/>
      <w:bookmarkEnd w:id="205"/>
      <w:bookmarkEnd w:id="206"/>
    </w:p>
    <w:p w14:paraId="45347D6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4034ACC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14:paraId="49E971D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606607D7">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7" w:name="_Toc5921"/>
      <w:bookmarkStart w:id="208" w:name="_Toc2798"/>
      <w:bookmarkStart w:id="209" w:name="_Toc293756857"/>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207"/>
      <w:bookmarkEnd w:id="208"/>
      <w:bookmarkEnd w:id="209"/>
    </w:p>
    <w:p w14:paraId="34A2745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6814E36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468A190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14:paraId="666FAF3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3854EFF9">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0" w:name="_Toc293756858"/>
      <w:bookmarkStart w:id="211" w:name="_Toc8954"/>
      <w:bookmarkStart w:id="212" w:name="_Toc288"/>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210"/>
      <w:bookmarkEnd w:id="211"/>
      <w:bookmarkEnd w:id="212"/>
    </w:p>
    <w:p w14:paraId="256394A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14:paraId="055496F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14:paraId="7A916D7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14:paraId="30E78E7A">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13" w:name="_Toc293756859"/>
      <w:bookmarkStart w:id="214" w:name="_Toc29290"/>
      <w:bookmarkStart w:id="215" w:name="_Toc13137"/>
      <w:r>
        <w:rPr>
          <w:rFonts w:hint="eastAsia" w:ascii="宋体" w:hAnsi="宋体" w:eastAsia="宋体" w:cs="宋体"/>
          <w:color w:val="auto"/>
          <w:sz w:val="21"/>
          <w:szCs w:val="21"/>
          <w:highlight w:val="none"/>
        </w:rPr>
        <w:t xml:space="preserve">5. </w:t>
      </w:r>
      <w:bookmarkEnd w:id="213"/>
      <w:r>
        <w:rPr>
          <w:rFonts w:hint="eastAsia" w:ascii="宋体" w:hAnsi="宋体" w:eastAsia="宋体" w:cs="宋体"/>
          <w:color w:val="auto"/>
          <w:sz w:val="21"/>
          <w:szCs w:val="21"/>
          <w:highlight w:val="none"/>
        </w:rPr>
        <w:t>比选</w:t>
      </w:r>
      <w:bookmarkEnd w:id="214"/>
      <w:bookmarkEnd w:id="215"/>
    </w:p>
    <w:p w14:paraId="26E7887E">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6" w:name="_Toc6939"/>
      <w:bookmarkStart w:id="217" w:name="_Toc293756860"/>
      <w:bookmarkStart w:id="218" w:name="_Toc14237"/>
      <w:r>
        <w:rPr>
          <w:rFonts w:hint="eastAsia" w:ascii="宋体" w:hAnsi="宋体" w:eastAsia="宋体" w:cs="宋体"/>
          <w:color w:val="auto"/>
          <w:sz w:val="21"/>
          <w:szCs w:val="21"/>
          <w:highlight w:val="none"/>
        </w:rPr>
        <w:t>5.1 比选时间和地点</w:t>
      </w:r>
      <w:bookmarkEnd w:id="216"/>
      <w:bookmarkEnd w:id="217"/>
      <w:bookmarkEnd w:id="218"/>
    </w:p>
    <w:p w14:paraId="1BB7ECC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14:paraId="55835C9F">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9" w:name="_Toc716"/>
      <w:bookmarkStart w:id="220" w:name="_Toc293756861"/>
      <w:bookmarkStart w:id="221" w:name="_Toc22516"/>
      <w:r>
        <w:rPr>
          <w:rFonts w:hint="eastAsia" w:ascii="宋体" w:hAnsi="宋体" w:eastAsia="宋体" w:cs="宋体"/>
          <w:color w:val="auto"/>
          <w:sz w:val="21"/>
          <w:szCs w:val="21"/>
          <w:highlight w:val="none"/>
        </w:rPr>
        <w:t>5.2 比选程序</w:t>
      </w:r>
      <w:bookmarkEnd w:id="219"/>
      <w:bookmarkEnd w:id="220"/>
      <w:bookmarkEnd w:id="221"/>
    </w:p>
    <w:p w14:paraId="55F7396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222"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14:paraId="0ACEEAE6">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23" w:name="_Toc24607"/>
      <w:bookmarkStart w:id="224" w:name="_Toc18348"/>
      <w:r>
        <w:rPr>
          <w:rFonts w:hint="eastAsia" w:ascii="宋体" w:hAnsi="宋体" w:eastAsia="宋体" w:cs="宋体"/>
          <w:color w:val="auto"/>
          <w:sz w:val="21"/>
          <w:szCs w:val="21"/>
          <w:highlight w:val="none"/>
        </w:rPr>
        <w:t>6. 评</w:t>
      </w:r>
      <w:bookmarkEnd w:id="222"/>
      <w:r>
        <w:rPr>
          <w:rFonts w:hint="eastAsia" w:ascii="宋体" w:hAnsi="宋体" w:eastAsia="宋体" w:cs="宋体"/>
          <w:color w:val="auto"/>
          <w:sz w:val="21"/>
          <w:szCs w:val="21"/>
          <w:highlight w:val="none"/>
        </w:rPr>
        <w:t>审</w:t>
      </w:r>
      <w:bookmarkEnd w:id="223"/>
      <w:bookmarkEnd w:id="224"/>
    </w:p>
    <w:p w14:paraId="7A78CDC1">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25" w:name="_Toc224103352"/>
      <w:bookmarkStart w:id="226" w:name="_Toc509218745"/>
      <w:bookmarkStart w:id="227" w:name="_Toc7646"/>
      <w:bookmarkStart w:id="228" w:name="_Toc277082587"/>
      <w:bookmarkStart w:id="229" w:name="_Toc15611"/>
      <w:bookmarkStart w:id="230" w:name="_Toc200513161"/>
      <w:bookmarkStart w:id="231" w:name="_Toc287620720"/>
      <w:bookmarkStart w:id="232" w:name="_Toc430530470"/>
      <w:bookmarkStart w:id="233" w:name="_Toc287607781"/>
      <w:bookmarkStart w:id="234"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225"/>
      <w:bookmarkEnd w:id="226"/>
      <w:bookmarkEnd w:id="227"/>
      <w:bookmarkEnd w:id="228"/>
      <w:bookmarkEnd w:id="229"/>
      <w:bookmarkEnd w:id="230"/>
      <w:bookmarkEnd w:id="231"/>
      <w:bookmarkEnd w:id="232"/>
      <w:bookmarkEnd w:id="233"/>
    </w:p>
    <w:p w14:paraId="10DB2DB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14:paraId="6B93B52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14:paraId="3247076D">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35" w:name="_Toc11164"/>
      <w:bookmarkStart w:id="236" w:name="_Toc27306"/>
      <w:bookmarkStart w:id="237" w:name="_Toc430530471"/>
      <w:bookmarkStart w:id="238" w:name="_Toc287607782"/>
      <w:bookmarkStart w:id="239" w:name="_Toc200513162"/>
      <w:bookmarkStart w:id="240" w:name="_Toc224103353"/>
      <w:bookmarkStart w:id="241" w:name="_Toc277082588"/>
      <w:bookmarkStart w:id="242" w:name="_Toc509218746"/>
      <w:bookmarkStart w:id="243" w:name="_Toc287620721"/>
      <w:r>
        <w:rPr>
          <w:rFonts w:hint="eastAsia" w:ascii="宋体" w:hAnsi="宋体" w:eastAsia="宋体" w:cs="宋体"/>
          <w:snapToGrid w:val="0"/>
          <w:color w:val="auto"/>
          <w:kern w:val="0"/>
          <w:sz w:val="21"/>
          <w:szCs w:val="21"/>
          <w:highlight w:val="none"/>
        </w:rPr>
        <w:t>（1）投标人或投标人的主要负责人的近亲属；</w:t>
      </w:r>
      <w:bookmarkEnd w:id="235"/>
      <w:bookmarkEnd w:id="236"/>
    </w:p>
    <w:p w14:paraId="7D13B18E">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44" w:name="_Toc24641"/>
      <w:bookmarkStart w:id="245" w:name="_Toc7327"/>
      <w:r>
        <w:rPr>
          <w:rFonts w:hint="eastAsia" w:ascii="宋体" w:hAnsi="宋体" w:eastAsia="宋体" w:cs="宋体"/>
          <w:snapToGrid w:val="0"/>
          <w:color w:val="auto"/>
          <w:kern w:val="0"/>
          <w:sz w:val="21"/>
          <w:szCs w:val="21"/>
          <w:highlight w:val="none"/>
        </w:rPr>
        <w:t>（2）项目主管部门或者项目行政监督部门的人员；</w:t>
      </w:r>
      <w:bookmarkEnd w:id="244"/>
      <w:bookmarkEnd w:id="245"/>
    </w:p>
    <w:p w14:paraId="1B7C5B01">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46" w:name="_Toc15401"/>
      <w:bookmarkStart w:id="247"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246"/>
      <w:bookmarkEnd w:id="247"/>
    </w:p>
    <w:p w14:paraId="6B6B37B7">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48" w:name="_Toc28689"/>
      <w:bookmarkStart w:id="249" w:name="_Toc2203"/>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248"/>
      <w:bookmarkEnd w:id="249"/>
    </w:p>
    <w:p w14:paraId="5E09A868">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50" w:name="_Toc22969"/>
      <w:bookmarkStart w:id="251" w:name="_Toc7240"/>
      <w:r>
        <w:rPr>
          <w:rFonts w:hint="eastAsia" w:ascii="宋体" w:hAnsi="宋体" w:eastAsia="宋体" w:cs="宋体"/>
          <w:snapToGrid w:val="0"/>
          <w:color w:val="auto"/>
          <w:kern w:val="0"/>
          <w:sz w:val="21"/>
          <w:szCs w:val="21"/>
          <w:highlight w:val="none"/>
        </w:rPr>
        <w:t>（5）法律法规规定的其他情形。</w:t>
      </w:r>
      <w:bookmarkEnd w:id="250"/>
      <w:bookmarkEnd w:id="251"/>
    </w:p>
    <w:p w14:paraId="7227A82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4BFB8246">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52" w:name="_Toc32302"/>
      <w:bookmarkStart w:id="253" w:name="_Toc349"/>
      <w:r>
        <w:rPr>
          <w:rFonts w:hint="eastAsia" w:ascii="宋体" w:hAnsi="宋体" w:eastAsia="宋体" w:cs="宋体"/>
          <w:color w:val="auto"/>
          <w:sz w:val="21"/>
          <w:szCs w:val="21"/>
          <w:highlight w:val="none"/>
          <w:lang w:val="en-US" w:eastAsia="zh-CN"/>
        </w:rPr>
        <w:t>6.2  评标原则</w:t>
      </w:r>
      <w:bookmarkEnd w:id="237"/>
      <w:bookmarkEnd w:id="238"/>
      <w:bookmarkEnd w:id="239"/>
      <w:bookmarkEnd w:id="240"/>
      <w:bookmarkEnd w:id="241"/>
      <w:bookmarkEnd w:id="242"/>
      <w:bookmarkEnd w:id="243"/>
      <w:bookmarkEnd w:id="252"/>
      <w:bookmarkEnd w:id="253"/>
    </w:p>
    <w:p w14:paraId="1B35ED6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14:paraId="5572AF4F">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54" w:name="_Toc430530472"/>
      <w:bookmarkStart w:id="255" w:name="_Toc3231"/>
      <w:bookmarkStart w:id="256" w:name="_Toc287607783"/>
      <w:bookmarkStart w:id="257" w:name="_Toc22477"/>
      <w:bookmarkStart w:id="258" w:name="_Toc200513163"/>
      <w:bookmarkStart w:id="259" w:name="_Toc277082589"/>
      <w:bookmarkStart w:id="260" w:name="_Toc224103354"/>
      <w:bookmarkStart w:id="261" w:name="_Toc509218747"/>
      <w:bookmarkStart w:id="262" w:name="_Toc287620722"/>
      <w:r>
        <w:rPr>
          <w:rFonts w:hint="eastAsia" w:ascii="宋体" w:hAnsi="宋体" w:eastAsia="宋体" w:cs="宋体"/>
          <w:color w:val="auto"/>
          <w:sz w:val="21"/>
          <w:szCs w:val="21"/>
          <w:highlight w:val="none"/>
          <w:lang w:val="en-US" w:eastAsia="zh-CN"/>
        </w:rPr>
        <w:t>6.3  评标</w:t>
      </w:r>
      <w:bookmarkEnd w:id="254"/>
      <w:bookmarkEnd w:id="255"/>
      <w:bookmarkEnd w:id="256"/>
      <w:bookmarkEnd w:id="257"/>
      <w:bookmarkEnd w:id="258"/>
      <w:bookmarkEnd w:id="259"/>
      <w:bookmarkEnd w:id="260"/>
      <w:bookmarkEnd w:id="261"/>
      <w:bookmarkEnd w:id="262"/>
    </w:p>
    <w:p w14:paraId="32FFB59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14:paraId="0692F012">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63" w:name="_Toc5190"/>
      <w:bookmarkStart w:id="264" w:name="_Toc2729"/>
      <w:r>
        <w:rPr>
          <w:rFonts w:hint="eastAsia" w:ascii="宋体" w:hAnsi="宋体" w:eastAsia="宋体" w:cs="宋体"/>
          <w:color w:val="auto"/>
          <w:sz w:val="21"/>
          <w:szCs w:val="21"/>
          <w:highlight w:val="none"/>
        </w:rPr>
        <w:t>7. 合同授予</w:t>
      </w:r>
      <w:bookmarkEnd w:id="234"/>
      <w:bookmarkEnd w:id="263"/>
      <w:bookmarkEnd w:id="264"/>
    </w:p>
    <w:p w14:paraId="2AE3A21E">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65" w:name="_Toc13886"/>
      <w:bookmarkStart w:id="266" w:name="_Toc293756867"/>
      <w:bookmarkStart w:id="267" w:name="_Toc13535"/>
      <w:r>
        <w:rPr>
          <w:rFonts w:hint="eastAsia" w:ascii="宋体" w:hAnsi="宋体" w:eastAsia="宋体" w:cs="宋体"/>
          <w:color w:val="auto"/>
          <w:sz w:val="21"/>
          <w:szCs w:val="21"/>
          <w:highlight w:val="none"/>
        </w:rPr>
        <w:t>7.1 定选方式</w:t>
      </w:r>
      <w:bookmarkEnd w:id="265"/>
      <w:bookmarkEnd w:id="266"/>
      <w:bookmarkEnd w:id="267"/>
    </w:p>
    <w:p w14:paraId="04FB57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14:paraId="06AF38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14:paraId="2C59451F">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68" w:name="_Toc17919"/>
      <w:bookmarkStart w:id="269" w:name="_Toc10258"/>
      <w:bookmarkStart w:id="270" w:name="_Toc293756868"/>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68"/>
      <w:bookmarkEnd w:id="269"/>
      <w:bookmarkEnd w:id="270"/>
    </w:p>
    <w:p w14:paraId="63C297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71"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w:t>
      </w:r>
      <w:r>
        <w:rPr>
          <w:rFonts w:hint="eastAsia" w:ascii="宋体" w:hAnsi="宋体" w:cs="宋体"/>
          <w:color w:val="auto"/>
          <w:sz w:val="21"/>
          <w:szCs w:val="21"/>
          <w:highlight w:val="none"/>
          <w:lang w:eastAsia="zh-CN"/>
        </w:rPr>
        <w:t>个工作日</w:t>
      </w:r>
      <w:r>
        <w:rPr>
          <w:rFonts w:hint="eastAsia" w:ascii="宋体" w:hAnsi="宋体" w:eastAsia="宋体" w:cs="宋体"/>
          <w:color w:val="auto"/>
          <w:sz w:val="21"/>
          <w:szCs w:val="21"/>
          <w:highlight w:val="none"/>
        </w:rPr>
        <w:t>内公示中标候选人，</w:t>
      </w:r>
      <w:r>
        <w:rPr>
          <w:rFonts w:hint="eastAsia" w:ascii="宋体" w:hAnsi="宋体" w:cs="宋体"/>
          <w:color w:val="auto"/>
          <w:szCs w:val="21"/>
          <w:highlight w:val="none"/>
        </w:rPr>
        <w:t>公示期为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r>
        <w:rPr>
          <w:rFonts w:hint="eastAsia" w:ascii="宋体" w:hAnsi="宋体" w:eastAsia="宋体" w:cs="宋体"/>
          <w:color w:val="auto"/>
          <w:sz w:val="21"/>
          <w:szCs w:val="21"/>
          <w:highlight w:val="none"/>
        </w:rPr>
        <w:t>。</w:t>
      </w:r>
    </w:p>
    <w:p w14:paraId="75B661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14:paraId="2547FFE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71"/>
    </w:p>
    <w:p w14:paraId="5A97109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14:paraId="430D5F4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14:paraId="0C02646C">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72" w:name="_Toc2662"/>
      <w:bookmarkStart w:id="273" w:name="_Toc293756870"/>
      <w:bookmarkStart w:id="274" w:name="_Toc5235"/>
      <w:r>
        <w:rPr>
          <w:rFonts w:hint="eastAsia" w:ascii="宋体" w:hAnsi="宋体" w:eastAsia="宋体" w:cs="宋体"/>
          <w:color w:val="auto"/>
          <w:sz w:val="21"/>
          <w:szCs w:val="21"/>
          <w:highlight w:val="none"/>
        </w:rPr>
        <w:t>7.4 签订合同</w:t>
      </w:r>
      <w:bookmarkEnd w:id="272"/>
      <w:bookmarkEnd w:id="273"/>
      <w:bookmarkEnd w:id="274"/>
    </w:p>
    <w:p w14:paraId="7C5DBC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14:paraId="6C282C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14:paraId="1CA4ABAA">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75" w:name="_Toc293756871"/>
      <w:bookmarkStart w:id="276" w:name="_Toc15182"/>
      <w:bookmarkStart w:id="277" w:name="_Toc21469"/>
      <w:r>
        <w:rPr>
          <w:rFonts w:hint="eastAsia" w:ascii="宋体" w:hAnsi="宋体" w:eastAsia="宋体" w:cs="宋体"/>
          <w:color w:val="auto"/>
          <w:sz w:val="21"/>
          <w:szCs w:val="21"/>
          <w:highlight w:val="none"/>
        </w:rPr>
        <w:t>8. 重新比选和不再比选</w:t>
      </w:r>
      <w:bookmarkEnd w:id="275"/>
      <w:bookmarkEnd w:id="276"/>
      <w:bookmarkEnd w:id="277"/>
    </w:p>
    <w:p w14:paraId="06741165">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78" w:name="_Toc277082596"/>
      <w:bookmarkStart w:id="279" w:name="_Toc224103361"/>
      <w:bookmarkStart w:id="280" w:name="_Toc200513170"/>
      <w:bookmarkStart w:id="281" w:name="_Toc430530479"/>
      <w:bookmarkStart w:id="282" w:name="_Toc287620729"/>
      <w:bookmarkStart w:id="283" w:name="_Toc509218754"/>
      <w:bookmarkStart w:id="284" w:name="_Toc287607790"/>
      <w:bookmarkStart w:id="285" w:name="_Toc27002"/>
      <w:bookmarkStart w:id="286" w:name="_Toc15837"/>
      <w:bookmarkStart w:id="287" w:name="_Toc284231394"/>
      <w:bookmarkStart w:id="288" w:name="_Toc293756873"/>
      <w:r>
        <w:rPr>
          <w:rFonts w:hint="eastAsia" w:ascii="宋体" w:hAnsi="宋体" w:eastAsia="宋体" w:cs="宋体"/>
          <w:b w:val="0"/>
          <w:bCs/>
          <w:snapToGrid w:val="0"/>
          <w:color w:val="auto"/>
          <w:kern w:val="2"/>
          <w:sz w:val="21"/>
          <w:szCs w:val="21"/>
          <w:highlight w:val="none"/>
          <w:lang w:val="en-US" w:eastAsia="zh-CN" w:bidi="ar-SA"/>
        </w:rPr>
        <w:t>8.1  重新</w:t>
      </w:r>
      <w:bookmarkEnd w:id="278"/>
      <w:bookmarkEnd w:id="279"/>
      <w:bookmarkEnd w:id="280"/>
      <w:bookmarkEnd w:id="281"/>
      <w:bookmarkEnd w:id="282"/>
      <w:bookmarkEnd w:id="283"/>
      <w:bookmarkEnd w:id="284"/>
      <w:r>
        <w:rPr>
          <w:rFonts w:hint="eastAsia" w:ascii="宋体" w:hAnsi="宋体" w:eastAsia="宋体" w:cs="宋体"/>
          <w:b w:val="0"/>
          <w:bCs/>
          <w:snapToGrid w:val="0"/>
          <w:color w:val="auto"/>
          <w:kern w:val="2"/>
          <w:sz w:val="21"/>
          <w:szCs w:val="21"/>
          <w:highlight w:val="none"/>
          <w:lang w:val="en-US" w:eastAsia="zh-CN" w:bidi="ar-SA"/>
        </w:rPr>
        <w:t>比选</w:t>
      </w:r>
      <w:bookmarkEnd w:id="285"/>
      <w:bookmarkEnd w:id="286"/>
    </w:p>
    <w:p w14:paraId="6F37E731">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14:paraId="28DA008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14:paraId="147643A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14:paraId="19A06992">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14:paraId="11D414BC">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14:paraId="5EDE92FF">
      <w:pPr>
        <w:pStyle w:val="6"/>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89" w:name="_Toc24456"/>
      <w:bookmarkStart w:id="290" w:name="_Toc28804"/>
      <w:r>
        <w:rPr>
          <w:rFonts w:hint="eastAsia" w:ascii="宋体" w:hAnsi="宋体" w:eastAsia="宋体" w:cs="宋体"/>
          <w:color w:val="auto"/>
          <w:sz w:val="21"/>
          <w:szCs w:val="21"/>
          <w:highlight w:val="none"/>
        </w:rPr>
        <w:t>8.2 不再</w:t>
      </w:r>
      <w:bookmarkEnd w:id="287"/>
      <w:bookmarkEnd w:id="288"/>
      <w:r>
        <w:rPr>
          <w:rFonts w:hint="eastAsia" w:ascii="宋体" w:hAnsi="宋体" w:eastAsia="宋体" w:cs="宋体"/>
          <w:color w:val="auto"/>
          <w:sz w:val="21"/>
          <w:szCs w:val="21"/>
          <w:highlight w:val="none"/>
        </w:rPr>
        <w:t>比选</w:t>
      </w:r>
      <w:bookmarkEnd w:id="289"/>
      <w:bookmarkEnd w:id="290"/>
    </w:p>
    <w:p w14:paraId="5F8CA05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91" w:name="_Toc284158456"/>
      <w:bookmarkStart w:id="292" w:name="_Toc288046541"/>
      <w:bookmarkStart w:id="293" w:name="_Toc284159224"/>
      <w:bookmarkStart w:id="294" w:name="_Toc288052291"/>
      <w:bookmarkStart w:id="295" w:name="_Toc293756874"/>
      <w:bookmarkStart w:id="296" w:name="_Toc284159360"/>
      <w:bookmarkStart w:id="297" w:name="_Toc284158539"/>
      <w:bookmarkStart w:id="298" w:name="_Toc284231395"/>
      <w:bookmarkStart w:id="299" w:name="_Toc288046894"/>
      <w:bookmarkStart w:id="300" w:name="_Toc288045280"/>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91"/>
      <w:bookmarkEnd w:id="292"/>
      <w:bookmarkEnd w:id="293"/>
      <w:bookmarkEnd w:id="294"/>
      <w:bookmarkEnd w:id="295"/>
      <w:bookmarkEnd w:id="296"/>
      <w:bookmarkEnd w:id="297"/>
      <w:bookmarkEnd w:id="298"/>
      <w:bookmarkEnd w:id="299"/>
      <w:bookmarkEnd w:id="300"/>
    </w:p>
    <w:p w14:paraId="338BF9A8">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301" w:name="_Toc224103363"/>
      <w:bookmarkStart w:id="302" w:name="_Toc277082598"/>
      <w:bookmarkStart w:id="303" w:name="_Toc430530481"/>
      <w:bookmarkStart w:id="304" w:name="_Toc509218756"/>
      <w:bookmarkStart w:id="305" w:name="_Toc36043737"/>
      <w:bookmarkStart w:id="306" w:name="_Toc287620731"/>
      <w:bookmarkStart w:id="307" w:name="_Toc755"/>
      <w:bookmarkStart w:id="308" w:name="_Toc31090"/>
      <w:bookmarkStart w:id="309" w:name="_Toc200513172"/>
      <w:bookmarkStart w:id="310" w:name="_Toc287607792"/>
      <w:r>
        <w:rPr>
          <w:rFonts w:hint="eastAsia" w:ascii="宋体" w:hAnsi="宋体" w:eastAsia="宋体" w:cs="宋体"/>
          <w:color w:val="auto"/>
          <w:sz w:val="21"/>
          <w:szCs w:val="21"/>
          <w:highlight w:val="none"/>
        </w:rPr>
        <w:t>9.  纪律和监督</w:t>
      </w:r>
      <w:bookmarkEnd w:id="301"/>
      <w:bookmarkEnd w:id="302"/>
      <w:bookmarkEnd w:id="303"/>
      <w:bookmarkEnd w:id="304"/>
      <w:bookmarkEnd w:id="305"/>
      <w:bookmarkEnd w:id="306"/>
      <w:bookmarkEnd w:id="307"/>
      <w:bookmarkEnd w:id="308"/>
      <w:bookmarkEnd w:id="309"/>
      <w:bookmarkEnd w:id="310"/>
    </w:p>
    <w:p w14:paraId="1AB9EE33">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11" w:name="_Toc430530482"/>
      <w:bookmarkStart w:id="312" w:name="_Toc224103364"/>
      <w:bookmarkStart w:id="313" w:name="_Toc12829"/>
      <w:bookmarkStart w:id="314" w:name="_Toc287607793"/>
      <w:bookmarkStart w:id="315" w:name="_Toc509218757"/>
      <w:bookmarkStart w:id="316" w:name="_Toc277082599"/>
      <w:bookmarkStart w:id="317" w:name="_Toc200513173"/>
      <w:bookmarkStart w:id="318" w:name="_Toc287620732"/>
      <w:bookmarkStart w:id="319" w:name="_Toc25463"/>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311"/>
      <w:bookmarkEnd w:id="312"/>
      <w:bookmarkEnd w:id="313"/>
      <w:bookmarkEnd w:id="314"/>
      <w:bookmarkEnd w:id="315"/>
      <w:bookmarkEnd w:id="316"/>
      <w:bookmarkEnd w:id="317"/>
      <w:bookmarkEnd w:id="318"/>
      <w:bookmarkEnd w:id="319"/>
    </w:p>
    <w:p w14:paraId="52F795F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14:paraId="7A2B826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14:paraId="2C1EB2E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14:paraId="103BD98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14:paraId="51292B73">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14:paraId="3A88FA9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14:paraId="12695B49">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14:paraId="1EF6975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14:paraId="66A09DD0">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20" w:name="_Toc14890"/>
      <w:bookmarkStart w:id="321" w:name="_Toc200513174"/>
      <w:bookmarkStart w:id="322" w:name="_Toc287607794"/>
      <w:bookmarkStart w:id="323" w:name="_Toc430530483"/>
      <w:bookmarkStart w:id="324" w:name="_Toc277082600"/>
      <w:bookmarkStart w:id="325" w:name="_Toc224103365"/>
      <w:bookmarkStart w:id="326" w:name="_Toc509218758"/>
      <w:bookmarkStart w:id="327" w:name="_Toc287620733"/>
      <w:bookmarkStart w:id="328" w:name="_Toc83"/>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320"/>
      <w:bookmarkEnd w:id="321"/>
      <w:bookmarkEnd w:id="322"/>
      <w:bookmarkEnd w:id="323"/>
      <w:bookmarkEnd w:id="324"/>
      <w:bookmarkEnd w:id="325"/>
      <w:bookmarkEnd w:id="326"/>
      <w:bookmarkEnd w:id="327"/>
      <w:bookmarkEnd w:id="328"/>
    </w:p>
    <w:p w14:paraId="7689CEF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14:paraId="556AD85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14:paraId="12B81899">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14:paraId="47B2B8E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14:paraId="5E8F931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14:paraId="637A4C29">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14:paraId="0CB0CE8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14:paraId="12ADB73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5523F19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4F06670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14:paraId="675EC51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F0275A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447468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14:paraId="6DFB14A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14:paraId="16DBF6F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14:paraId="2C447AB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0390A71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1B72AAF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5E87C7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4ED1029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14:paraId="44DADD07">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29" w:name="_Toc509218759"/>
      <w:bookmarkStart w:id="330" w:name="_Toc287620734"/>
      <w:bookmarkStart w:id="331" w:name="_Toc200513175"/>
      <w:bookmarkStart w:id="332" w:name="_Toc20024"/>
      <w:bookmarkStart w:id="333" w:name="_Toc287607795"/>
      <w:bookmarkStart w:id="334" w:name="_Toc277082601"/>
      <w:bookmarkStart w:id="335" w:name="_Toc19139"/>
      <w:bookmarkStart w:id="336" w:name="_Toc430530484"/>
      <w:bookmarkStart w:id="337" w:name="_Toc224103366"/>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329"/>
      <w:bookmarkEnd w:id="330"/>
      <w:bookmarkEnd w:id="331"/>
      <w:bookmarkEnd w:id="332"/>
      <w:bookmarkEnd w:id="333"/>
      <w:bookmarkEnd w:id="334"/>
      <w:bookmarkEnd w:id="335"/>
      <w:bookmarkEnd w:id="336"/>
      <w:bookmarkEnd w:id="337"/>
    </w:p>
    <w:p w14:paraId="6D109EA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A541683">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38" w:name="_Toc277082602"/>
      <w:bookmarkStart w:id="339" w:name="_Toc200513176"/>
      <w:bookmarkStart w:id="340" w:name="_Toc224103367"/>
      <w:bookmarkStart w:id="341" w:name="_Toc509218760"/>
      <w:bookmarkStart w:id="342" w:name="_Toc287607796"/>
      <w:bookmarkStart w:id="343" w:name="_Toc287620735"/>
      <w:bookmarkStart w:id="344" w:name="_Toc1608"/>
      <w:bookmarkStart w:id="345" w:name="_Toc13227"/>
      <w:bookmarkStart w:id="346" w:name="_Toc430530485"/>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338"/>
      <w:bookmarkEnd w:id="339"/>
      <w:bookmarkEnd w:id="340"/>
      <w:bookmarkEnd w:id="341"/>
      <w:bookmarkEnd w:id="342"/>
      <w:bookmarkEnd w:id="343"/>
      <w:bookmarkEnd w:id="344"/>
      <w:bookmarkEnd w:id="345"/>
      <w:bookmarkEnd w:id="346"/>
    </w:p>
    <w:p w14:paraId="58A6E79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304B514D">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347" w:name="_Toc287620736"/>
      <w:bookmarkStart w:id="348" w:name="_Toc430530486"/>
      <w:bookmarkStart w:id="349" w:name="_Toc277082603"/>
      <w:bookmarkStart w:id="350" w:name="_Toc287607797"/>
      <w:bookmarkStart w:id="351" w:name="_Toc10750"/>
      <w:bookmarkStart w:id="352" w:name="_Toc200513177"/>
      <w:bookmarkStart w:id="353" w:name="_Toc224103368"/>
      <w:bookmarkStart w:id="354" w:name="_Toc509218761"/>
      <w:bookmarkStart w:id="355" w:name="_Toc2907"/>
      <w:r>
        <w:rPr>
          <w:rFonts w:hint="eastAsia" w:ascii="宋体" w:hAnsi="宋体" w:eastAsia="宋体" w:cs="宋体"/>
          <w:b w:val="0"/>
          <w:bCs/>
          <w:snapToGrid w:val="0"/>
          <w:color w:val="auto"/>
          <w:kern w:val="2"/>
          <w:sz w:val="21"/>
          <w:szCs w:val="21"/>
          <w:highlight w:val="none"/>
          <w:lang w:val="en-US" w:eastAsia="zh-CN" w:bidi="ar-SA"/>
        </w:rPr>
        <w:t>9.5  投诉</w:t>
      </w:r>
      <w:bookmarkEnd w:id="347"/>
      <w:bookmarkEnd w:id="348"/>
      <w:bookmarkEnd w:id="349"/>
      <w:bookmarkEnd w:id="350"/>
      <w:bookmarkEnd w:id="351"/>
      <w:bookmarkEnd w:id="352"/>
      <w:bookmarkEnd w:id="353"/>
      <w:bookmarkEnd w:id="354"/>
      <w:bookmarkEnd w:id="355"/>
    </w:p>
    <w:p w14:paraId="753CC05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14:paraId="5F7C8B49">
      <w:pPr>
        <w:keepNext/>
        <w:keepLines/>
        <w:pageBreakBefore w:val="0"/>
        <w:widowControl w:val="0"/>
        <w:kinsoku/>
        <w:wordWrap/>
        <w:overflowPunct/>
        <w:topLinePunct w:val="0"/>
        <w:bidi w:val="0"/>
        <w:spacing w:before="0" w:after="0" w:line="360" w:lineRule="auto"/>
        <w:ind w:firstLine="420" w:firstLineChars="200"/>
        <w:jc w:val="both"/>
        <w:textAlignment w:val="auto"/>
        <w:outlineLvl w:val="9"/>
        <w:rPr>
          <w:rFonts w:hint="eastAsia" w:ascii="宋体" w:hAnsi="宋体" w:eastAsia="宋体" w:cs="宋体"/>
          <w:b w:val="0"/>
          <w:bCs/>
          <w:snapToGrid w:val="0"/>
          <w:color w:val="auto"/>
          <w:kern w:val="2"/>
          <w:sz w:val="21"/>
          <w:szCs w:val="21"/>
          <w:highlight w:val="none"/>
          <w:lang w:val="en-US" w:eastAsia="zh-CN" w:bidi="ar-SA"/>
        </w:rPr>
      </w:pPr>
      <w:bookmarkStart w:id="356" w:name="_Toc277082604"/>
      <w:bookmarkStart w:id="357" w:name="_Toc287607798"/>
      <w:bookmarkStart w:id="358" w:name="_Toc430530487"/>
      <w:bookmarkStart w:id="359" w:name="_Toc509218762"/>
      <w:bookmarkStart w:id="360" w:name="_Toc224103369"/>
      <w:bookmarkStart w:id="361" w:name="_Toc287620737"/>
      <w:bookmarkStart w:id="362" w:name="_Toc36043738"/>
      <w:bookmarkStart w:id="363" w:name="_Toc200513178"/>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356"/>
      <w:bookmarkEnd w:id="357"/>
      <w:bookmarkEnd w:id="358"/>
      <w:bookmarkEnd w:id="359"/>
      <w:bookmarkEnd w:id="360"/>
      <w:bookmarkEnd w:id="361"/>
      <w:bookmarkEnd w:id="362"/>
      <w:bookmarkEnd w:id="363"/>
    </w:p>
    <w:p w14:paraId="6322066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14:paraId="314A74E5">
      <w:pPr>
        <w:spacing w:line="360" w:lineRule="auto"/>
        <w:ind w:firstLine="240" w:firstLineChars="100"/>
        <w:rPr>
          <w:rFonts w:ascii="宋体" w:hAnsi="宋体" w:eastAsia="宋体" w:cs="宋体"/>
          <w:color w:val="auto"/>
          <w:sz w:val="24"/>
          <w:highlight w:val="none"/>
        </w:rPr>
        <w:sectPr>
          <w:footerReference r:id="rId7" w:type="first"/>
          <w:footerReference r:id="rId6" w:type="default"/>
          <w:pgSz w:w="11906" w:h="16838"/>
          <w:pgMar w:top="1134" w:right="1418" w:bottom="1134" w:left="1418" w:header="851" w:footer="992" w:gutter="0"/>
          <w:cols w:space="720" w:num="1"/>
          <w:docGrid w:type="lines" w:linePitch="312" w:charSpace="0"/>
        </w:sectPr>
      </w:pPr>
    </w:p>
    <w:p w14:paraId="01E5D827">
      <w:pPr>
        <w:keepNext/>
        <w:keepLines/>
        <w:widowControl w:val="0"/>
        <w:spacing w:before="340" w:after="330" w:line="360" w:lineRule="auto"/>
        <w:ind w:firstLine="883" w:firstLineChars="200"/>
        <w:jc w:val="center"/>
        <w:outlineLvl w:val="0"/>
        <w:rPr>
          <w:rFonts w:ascii="宋体" w:hAnsi="宋体" w:eastAsia="宋体" w:cs="Times New Roman"/>
          <w:b/>
          <w:bCs/>
          <w:color w:val="auto"/>
          <w:kern w:val="44"/>
          <w:sz w:val="44"/>
          <w:szCs w:val="44"/>
          <w:highlight w:val="none"/>
          <w:lang w:val="en-US" w:eastAsia="zh-CN" w:bidi="ar-SA"/>
        </w:rPr>
      </w:pPr>
      <w:bookmarkStart w:id="364" w:name="_Toc22226"/>
      <w:bookmarkStart w:id="365" w:name="_Toc509218774"/>
      <w:bookmarkStart w:id="366" w:name="_Toc27983298"/>
      <w:bookmarkStart w:id="367" w:name="_Toc509218785"/>
      <w:bookmarkStart w:id="368" w:name="_Toc430530509"/>
      <w:bookmarkStart w:id="369" w:name="_Toc8427"/>
      <w:r>
        <w:rPr>
          <w:rFonts w:ascii="宋体" w:hAnsi="宋体" w:eastAsia="宋体" w:cs="Times New Roman"/>
          <w:b/>
          <w:bCs/>
          <w:color w:val="auto"/>
          <w:kern w:val="44"/>
          <w:sz w:val="44"/>
          <w:szCs w:val="44"/>
          <w:highlight w:val="none"/>
          <w:lang w:val="en-US" w:eastAsia="zh-CN" w:bidi="ar-SA"/>
        </w:rPr>
        <w:t xml:space="preserve">第三章 </w:t>
      </w:r>
      <w:r>
        <w:rPr>
          <w:rFonts w:hint="eastAsia" w:ascii="宋体" w:hAnsi="宋体" w:eastAsia="宋体" w:cs="Times New Roman"/>
          <w:b/>
          <w:bCs/>
          <w:color w:val="auto"/>
          <w:kern w:val="44"/>
          <w:sz w:val="44"/>
          <w:szCs w:val="44"/>
          <w:highlight w:val="none"/>
          <w:lang w:val="en-US" w:eastAsia="zh-CN" w:bidi="ar-SA"/>
        </w:rPr>
        <w:t xml:space="preserve"> </w:t>
      </w:r>
      <w:r>
        <w:rPr>
          <w:rFonts w:ascii="宋体" w:hAnsi="宋体" w:eastAsia="宋体" w:cs="Times New Roman"/>
          <w:b/>
          <w:bCs/>
          <w:color w:val="auto"/>
          <w:kern w:val="44"/>
          <w:sz w:val="44"/>
          <w:szCs w:val="44"/>
          <w:highlight w:val="none"/>
          <w:lang w:val="en-US" w:eastAsia="zh-CN" w:bidi="ar-SA"/>
        </w:rPr>
        <w:t>评标办法（综合评估法）</w:t>
      </w:r>
      <w:bookmarkEnd w:id="364"/>
      <w:bookmarkEnd w:id="365"/>
      <w:bookmarkEnd w:id="366"/>
      <w:bookmarkStart w:id="370" w:name="_Toc277082617"/>
      <w:bookmarkStart w:id="371" w:name="_Toc287620750"/>
      <w:bookmarkStart w:id="372" w:name="_Toc430530499"/>
      <w:bookmarkStart w:id="373" w:name="_Toc224103383"/>
      <w:bookmarkStart w:id="374" w:name="_Toc287607811"/>
    </w:p>
    <w:p w14:paraId="0C7F8B52">
      <w:pPr>
        <w:keepNext/>
        <w:keepLines/>
        <w:widowControl w:val="0"/>
        <w:spacing w:before="100" w:after="100" w:line="360" w:lineRule="auto"/>
        <w:jc w:val="both"/>
        <w:outlineLvl w:val="1"/>
        <w:rPr>
          <w:rFonts w:hint="eastAsia" w:ascii="宋体" w:hAnsi="宋体" w:eastAsia="宋体" w:cs="Times New Roman"/>
          <w:b/>
          <w:bCs/>
          <w:color w:val="auto"/>
          <w:kern w:val="2"/>
          <w:sz w:val="32"/>
          <w:szCs w:val="32"/>
          <w:highlight w:val="none"/>
          <w:lang w:val="en-US" w:eastAsia="zh-CN" w:bidi="ar-SA"/>
        </w:rPr>
      </w:pPr>
      <w:bookmarkStart w:id="375" w:name="_Toc509218775"/>
      <w:bookmarkStart w:id="376" w:name="_Toc30753"/>
      <w:bookmarkStart w:id="377" w:name="_Toc27983299"/>
      <w:r>
        <w:rPr>
          <w:rFonts w:hint="eastAsia" w:ascii="宋体" w:hAnsi="宋体" w:eastAsia="宋体" w:cs="Times New Roman"/>
          <w:b/>
          <w:bCs/>
          <w:color w:val="auto"/>
          <w:kern w:val="2"/>
          <w:sz w:val="32"/>
          <w:szCs w:val="32"/>
          <w:highlight w:val="none"/>
          <w:lang w:val="en-US" w:eastAsia="zh-CN" w:bidi="ar-SA"/>
        </w:rPr>
        <w:t>评标办法前附表</w:t>
      </w:r>
      <w:bookmarkEnd w:id="375"/>
      <w:bookmarkEnd w:id="376"/>
      <w:bookmarkEnd w:id="377"/>
    </w:p>
    <w:p w14:paraId="3395C9F1">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评标办法前附表中的评审内容必须和</w:t>
      </w:r>
      <w:r>
        <w:rPr>
          <w:rFonts w:hint="eastAsia" w:ascii="Times New Roman" w:hAnsi="Times New Roman" w:eastAsia="宋体" w:cs="Times New Roman"/>
          <w:color w:val="auto"/>
          <w:szCs w:val="21"/>
          <w:highlight w:val="none"/>
          <w:lang w:eastAsia="zh-CN"/>
        </w:rPr>
        <w:t>竞标</w:t>
      </w:r>
      <w:r>
        <w:rPr>
          <w:rFonts w:ascii="Times New Roman" w:hAnsi="Times New Roman" w:eastAsia="宋体" w:cs="Times New Roman"/>
          <w:color w:val="auto"/>
          <w:szCs w:val="21"/>
          <w:highlight w:val="none"/>
        </w:rPr>
        <w:t>人须知前附表中的对应内容一致，若</w:t>
      </w:r>
      <w:r>
        <w:rPr>
          <w:rFonts w:hint="eastAsia" w:ascii="Times New Roman" w:hAnsi="Times New Roman" w:eastAsia="宋体" w:cs="Times New Roman"/>
          <w:color w:val="auto"/>
          <w:szCs w:val="21"/>
          <w:highlight w:val="none"/>
          <w:lang w:eastAsia="zh-CN"/>
        </w:rPr>
        <w:t>竞标</w:t>
      </w:r>
      <w:r>
        <w:rPr>
          <w:rFonts w:ascii="Times New Roman" w:hAnsi="Times New Roman" w:eastAsia="宋体" w:cs="Times New Roman"/>
          <w:color w:val="auto"/>
          <w:szCs w:val="21"/>
          <w:highlight w:val="none"/>
        </w:rPr>
        <w:t>人须知前附表中未作要求的内容，不得列入评标办法前附表作为评定依据。</w:t>
      </w:r>
    </w:p>
    <w:tbl>
      <w:tblPr>
        <w:tblStyle w:val="48"/>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666"/>
        <w:gridCol w:w="709"/>
        <w:gridCol w:w="837"/>
        <w:gridCol w:w="1012"/>
        <w:gridCol w:w="5493"/>
      </w:tblGrid>
      <w:tr w14:paraId="1AC8C5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noWrap w:val="0"/>
            <w:vAlign w:val="center"/>
          </w:tcPr>
          <w:p w14:paraId="3E97392D">
            <w:pPr>
              <w:spacing w:line="400" w:lineRule="exact"/>
              <w:jc w:val="center"/>
              <w:rPr>
                <w:rFonts w:ascii="宋体" w:hAnsi="宋体" w:eastAsia="宋体" w:cs="Times New Roman"/>
                <w:b/>
                <w:color w:val="auto"/>
                <w:kern w:val="0"/>
                <w:highlight w:val="none"/>
              </w:rPr>
            </w:pPr>
            <w:r>
              <w:rPr>
                <w:rFonts w:ascii="宋体" w:hAnsi="宋体" w:eastAsia="宋体" w:cs="Times New Roman"/>
                <w:b/>
                <w:color w:val="auto"/>
                <w:kern w:val="0"/>
                <w:highlight w:val="none"/>
              </w:rPr>
              <w:t>条款号</w:t>
            </w:r>
          </w:p>
        </w:tc>
        <w:tc>
          <w:tcPr>
            <w:tcW w:w="2558" w:type="dxa"/>
            <w:gridSpan w:val="3"/>
            <w:noWrap w:val="0"/>
            <w:vAlign w:val="center"/>
          </w:tcPr>
          <w:p w14:paraId="7E73713B">
            <w:pPr>
              <w:spacing w:line="400" w:lineRule="exact"/>
              <w:jc w:val="center"/>
              <w:rPr>
                <w:rFonts w:ascii="宋体" w:hAnsi="宋体" w:eastAsia="宋体" w:cs="Times New Roman"/>
                <w:b/>
                <w:color w:val="auto"/>
                <w:kern w:val="0"/>
                <w:highlight w:val="none"/>
              </w:rPr>
            </w:pPr>
            <w:r>
              <w:rPr>
                <w:rFonts w:ascii="宋体" w:hAnsi="宋体" w:eastAsia="宋体" w:cs="Times New Roman"/>
                <w:b/>
                <w:color w:val="auto"/>
                <w:kern w:val="0"/>
                <w:highlight w:val="none"/>
              </w:rPr>
              <w:t>评审因素</w:t>
            </w:r>
          </w:p>
        </w:tc>
        <w:tc>
          <w:tcPr>
            <w:tcW w:w="5493" w:type="dxa"/>
            <w:noWrap w:val="0"/>
            <w:vAlign w:val="center"/>
          </w:tcPr>
          <w:p w14:paraId="4D5B9D90">
            <w:pPr>
              <w:spacing w:line="400" w:lineRule="exact"/>
              <w:jc w:val="center"/>
              <w:rPr>
                <w:rFonts w:ascii="宋体" w:hAnsi="宋体" w:eastAsia="宋体" w:cs="Times New Roman"/>
                <w:b/>
                <w:color w:val="auto"/>
                <w:kern w:val="0"/>
                <w:highlight w:val="none"/>
              </w:rPr>
            </w:pPr>
            <w:r>
              <w:rPr>
                <w:rFonts w:ascii="宋体" w:hAnsi="宋体" w:eastAsia="宋体" w:cs="Times New Roman"/>
                <w:b/>
                <w:color w:val="auto"/>
                <w:kern w:val="0"/>
                <w:highlight w:val="none"/>
              </w:rPr>
              <w:t>评审标准</w:t>
            </w:r>
          </w:p>
        </w:tc>
      </w:tr>
      <w:tr w14:paraId="632F3F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18" w:type="dxa"/>
            <w:gridSpan w:val="2"/>
            <w:noWrap w:val="0"/>
            <w:vAlign w:val="center"/>
          </w:tcPr>
          <w:p w14:paraId="5C9FD2DE">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rPr>
              <w:t>1</w:t>
            </w:r>
          </w:p>
        </w:tc>
        <w:tc>
          <w:tcPr>
            <w:tcW w:w="2558" w:type="dxa"/>
            <w:gridSpan w:val="3"/>
            <w:noWrap w:val="0"/>
            <w:vAlign w:val="center"/>
          </w:tcPr>
          <w:p w14:paraId="00B107DE">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评标办法</w:t>
            </w:r>
          </w:p>
        </w:tc>
        <w:tc>
          <w:tcPr>
            <w:tcW w:w="5493" w:type="dxa"/>
            <w:noWrap w:val="0"/>
            <w:vAlign w:val="center"/>
          </w:tcPr>
          <w:p w14:paraId="2E1CB8F9">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szCs w:val="21"/>
                <w:highlight w:val="none"/>
              </w:rPr>
              <w:t>本次评标采用综合评估法</w:t>
            </w:r>
            <w:r>
              <w:rPr>
                <w:rFonts w:ascii="宋体" w:hAnsi="宋体" w:eastAsia="宋体" w:cs="Times New Roman"/>
                <w:color w:val="auto"/>
                <w:spacing w:val="-47"/>
                <w:kern w:val="0"/>
                <w:szCs w:val="21"/>
                <w:highlight w:val="none"/>
              </w:rPr>
              <w:t>。</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 xml:space="preserve">按照本章第 </w:t>
            </w:r>
            <w:r>
              <w:rPr>
                <w:rFonts w:ascii="宋体" w:hAnsi="宋体" w:eastAsia="宋体" w:cs="Times New Roman"/>
                <w:color w:val="auto"/>
                <w:spacing w:val="1"/>
                <w:kern w:val="0"/>
                <w:szCs w:val="21"/>
                <w:highlight w:val="none"/>
              </w:rPr>
              <w:t>2</w:t>
            </w:r>
            <w:r>
              <w:rPr>
                <w:rFonts w:ascii="宋体" w:hAnsi="宋体" w:eastAsia="宋体" w:cs="Times New Roman"/>
                <w:color w:val="auto"/>
                <w:spacing w:val="-1"/>
                <w:kern w:val="0"/>
                <w:szCs w:val="21"/>
                <w:highlight w:val="none"/>
              </w:rPr>
              <w:t>.</w:t>
            </w:r>
            <w:r>
              <w:rPr>
                <w:rFonts w:ascii="宋体" w:hAnsi="宋体" w:eastAsia="宋体" w:cs="Times New Roman"/>
                <w:color w:val="auto"/>
                <w:kern w:val="0"/>
                <w:szCs w:val="21"/>
                <w:highlight w:val="none"/>
              </w:rPr>
              <w:t>2</w:t>
            </w:r>
            <w:r>
              <w:rPr>
                <w:rFonts w:ascii="宋体" w:hAnsi="宋体" w:eastAsia="宋体" w:cs="Times New Roman"/>
                <w:color w:val="auto"/>
                <w:spacing w:val="1"/>
                <w:kern w:val="0"/>
                <w:szCs w:val="21"/>
                <w:highlight w:val="none"/>
              </w:rPr>
              <w:t xml:space="preserve"> </w:t>
            </w:r>
            <w:r>
              <w:rPr>
                <w:rFonts w:ascii="宋体" w:hAnsi="宋体" w:eastAsia="宋体" w:cs="Times New Roman"/>
                <w:color w:val="auto"/>
                <w:kern w:val="0"/>
                <w:szCs w:val="21"/>
                <w:highlight w:val="none"/>
              </w:rPr>
              <w:t>款</w:t>
            </w:r>
            <w:r>
              <w:rPr>
                <w:rFonts w:ascii="宋体" w:hAnsi="宋体" w:eastAsia="宋体" w:cs="Times New Roman"/>
                <w:color w:val="auto"/>
                <w:spacing w:val="-1"/>
                <w:kern w:val="0"/>
                <w:szCs w:val="21"/>
                <w:highlight w:val="none"/>
              </w:rPr>
              <w:t>规</w:t>
            </w:r>
            <w:r>
              <w:rPr>
                <w:rFonts w:ascii="宋体" w:hAnsi="宋体" w:eastAsia="宋体" w:cs="Times New Roman"/>
                <w:color w:val="auto"/>
                <w:kern w:val="0"/>
                <w:szCs w:val="21"/>
                <w:highlight w:val="none"/>
              </w:rPr>
              <w:t>定的评分标准进行打分，按得分由高到低顺序推荐中标候选人</w:t>
            </w:r>
            <w:r>
              <w:rPr>
                <w:rFonts w:ascii="宋体" w:hAnsi="宋体" w:eastAsia="宋体" w:cs="Times New Roman"/>
                <w:color w:val="auto"/>
                <w:spacing w:val="-20"/>
                <w:kern w:val="0"/>
                <w:szCs w:val="21"/>
                <w:highlight w:val="none"/>
              </w:rPr>
              <w:t>，</w:t>
            </w:r>
            <w:r>
              <w:rPr>
                <w:rFonts w:ascii="宋体" w:hAnsi="宋体" w:eastAsia="宋体" w:cs="Times New Roman"/>
                <w:color w:val="auto"/>
                <w:kern w:val="0"/>
                <w:szCs w:val="21"/>
                <w:highlight w:val="none"/>
              </w:rPr>
              <w:t>或根据</w:t>
            </w:r>
            <w:r>
              <w:rPr>
                <w:rFonts w:hint="eastAsia" w:ascii="宋体" w:hAnsi="宋体" w:eastAsia="宋体" w:cs="Times New Roman"/>
                <w:color w:val="auto"/>
                <w:kern w:val="0"/>
                <w:szCs w:val="21"/>
                <w:highlight w:val="none"/>
                <w:lang w:eastAsia="zh-CN"/>
              </w:rPr>
              <w:t>比选人</w:t>
            </w:r>
            <w:r>
              <w:rPr>
                <w:rFonts w:ascii="宋体" w:hAnsi="宋体" w:eastAsia="宋体" w:cs="Times New Roman"/>
                <w:color w:val="auto"/>
                <w:kern w:val="0"/>
                <w:szCs w:val="21"/>
                <w:highlight w:val="none"/>
              </w:rPr>
              <w:t>授权直接确定中标人</w:t>
            </w:r>
            <w:r>
              <w:rPr>
                <w:rFonts w:ascii="宋体" w:hAnsi="宋体" w:eastAsia="宋体" w:cs="Times New Roman"/>
                <w:color w:val="auto"/>
                <w:spacing w:val="-31"/>
                <w:kern w:val="0"/>
                <w:szCs w:val="21"/>
                <w:highlight w:val="none"/>
              </w:rPr>
              <w:t>。</w:t>
            </w:r>
            <w:r>
              <w:rPr>
                <w:rFonts w:ascii="宋体" w:hAnsi="宋体" w:eastAsia="宋体" w:cs="Times New Roman"/>
                <w:color w:val="auto"/>
                <w:kern w:val="0"/>
                <w:szCs w:val="21"/>
                <w:highlight w:val="none"/>
              </w:rPr>
              <w:t>综合评分相等时</w:t>
            </w:r>
            <w:r>
              <w:rPr>
                <w:rFonts w:ascii="宋体" w:hAnsi="宋体" w:eastAsia="宋体" w:cs="Times New Roman"/>
                <w:color w:val="auto"/>
                <w:spacing w:val="-31"/>
                <w:kern w:val="0"/>
                <w:szCs w:val="21"/>
                <w:highlight w:val="none"/>
              </w:rPr>
              <w:t>，</w:t>
            </w:r>
            <w:r>
              <w:rPr>
                <w:rFonts w:ascii="宋体" w:hAnsi="宋体" w:eastAsia="宋体" w:cs="Times New Roman"/>
                <w:color w:val="auto"/>
                <w:kern w:val="0"/>
                <w:szCs w:val="21"/>
                <w:highlight w:val="none"/>
              </w:rPr>
              <w:t>以</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低的优先；</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相等的</w:t>
            </w:r>
            <w:r>
              <w:rPr>
                <w:rFonts w:hint="eastAsia" w:ascii="宋体" w:hAnsi="宋体" w:eastAsia="宋体" w:cs="Times New Roman"/>
                <w:color w:val="auto"/>
                <w:kern w:val="0"/>
                <w:szCs w:val="21"/>
                <w:highlight w:val="none"/>
              </w:rPr>
              <w:t>，由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按照</w:t>
            </w:r>
            <w:r>
              <w:rPr>
                <w:rFonts w:hint="eastAsia" w:ascii="宋体" w:hAnsi="宋体" w:eastAsia="宋体" w:cs="Times New Roman"/>
                <w:color w:val="auto"/>
                <w:kern w:val="0"/>
                <w:szCs w:val="21"/>
                <w:highlight w:val="none"/>
                <w:u w:val="single"/>
                <w:lang w:val="en-US" w:eastAsia="zh-CN"/>
              </w:rPr>
              <w:t>技术方案得分高的优先</w:t>
            </w:r>
            <w:r>
              <w:rPr>
                <w:rFonts w:hint="eastAsia" w:ascii="宋体" w:hAnsi="宋体" w:eastAsia="宋体" w:cs="Times New Roman"/>
                <w:color w:val="auto"/>
                <w:kern w:val="0"/>
                <w:szCs w:val="21"/>
                <w:highlight w:val="none"/>
              </w:rPr>
              <w:t>原则排序。</w:t>
            </w:r>
          </w:p>
        </w:tc>
      </w:tr>
      <w:tr w14:paraId="3ACFEA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restart"/>
            <w:noWrap w:val="0"/>
            <w:vAlign w:val="center"/>
          </w:tcPr>
          <w:p w14:paraId="01DC36D9">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2.1.1</w:t>
            </w:r>
          </w:p>
        </w:tc>
        <w:tc>
          <w:tcPr>
            <w:tcW w:w="666" w:type="dxa"/>
            <w:vMerge w:val="restart"/>
            <w:noWrap w:val="0"/>
            <w:vAlign w:val="center"/>
          </w:tcPr>
          <w:p w14:paraId="10EB877B">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形式评审标准</w:t>
            </w:r>
          </w:p>
        </w:tc>
        <w:tc>
          <w:tcPr>
            <w:tcW w:w="2558" w:type="dxa"/>
            <w:gridSpan w:val="3"/>
            <w:noWrap w:val="0"/>
            <w:vAlign w:val="center"/>
          </w:tcPr>
          <w:p w14:paraId="134CF111">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人名称</w:t>
            </w:r>
          </w:p>
        </w:tc>
        <w:tc>
          <w:tcPr>
            <w:tcW w:w="5493" w:type="dxa"/>
            <w:noWrap w:val="0"/>
            <w:vAlign w:val="center"/>
          </w:tcPr>
          <w:p w14:paraId="445B4430">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与营业执照一致。</w:t>
            </w:r>
          </w:p>
        </w:tc>
      </w:tr>
      <w:tr w14:paraId="5F432B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472179D9">
            <w:pPr>
              <w:spacing w:line="400" w:lineRule="exact"/>
              <w:rPr>
                <w:rFonts w:ascii="宋体" w:hAnsi="宋体" w:eastAsia="宋体" w:cs="Times New Roman"/>
                <w:color w:val="auto"/>
                <w:highlight w:val="none"/>
              </w:rPr>
            </w:pPr>
          </w:p>
        </w:tc>
        <w:tc>
          <w:tcPr>
            <w:tcW w:w="666" w:type="dxa"/>
            <w:vMerge w:val="continue"/>
            <w:noWrap w:val="0"/>
            <w:vAlign w:val="top"/>
          </w:tcPr>
          <w:p w14:paraId="044173E5">
            <w:pPr>
              <w:spacing w:line="400" w:lineRule="exact"/>
              <w:rPr>
                <w:rFonts w:ascii="宋体" w:hAnsi="宋体" w:eastAsia="宋体" w:cs="Times New Roman"/>
                <w:color w:val="auto"/>
                <w:highlight w:val="none"/>
              </w:rPr>
            </w:pPr>
          </w:p>
        </w:tc>
        <w:tc>
          <w:tcPr>
            <w:tcW w:w="2558" w:type="dxa"/>
            <w:gridSpan w:val="3"/>
            <w:noWrap w:val="0"/>
            <w:vAlign w:val="center"/>
          </w:tcPr>
          <w:p w14:paraId="7B7F3BF0">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竞标函</w:t>
            </w:r>
            <w:r>
              <w:rPr>
                <w:rFonts w:ascii="宋体" w:hAnsi="宋体" w:eastAsia="宋体" w:cs="Times New Roman"/>
                <w:color w:val="auto"/>
                <w:kern w:val="0"/>
                <w:highlight w:val="none"/>
              </w:rPr>
              <w:t>签字盖章</w:t>
            </w:r>
          </w:p>
        </w:tc>
        <w:tc>
          <w:tcPr>
            <w:tcW w:w="5493" w:type="dxa"/>
            <w:noWrap w:val="0"/>
            <w:vAlign w:val="center"/>
          </w:tcPr>
          <w:p w14:paraId="61269644">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有法定代表人或其委托代理人签字（或盖章）、加盖单位法人章。</w:t>
            </w:r>
          </w:p>
        </w:tc>
      </w:tr>
      <w:tr w14:paraId="59471F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61993C6A">
            <w:pPr>
              <w:spacing w:line="400" w:lineRule="exact"/>
              <w:rPr>
                <w:rFonts w:ascii="宋体" w:hAnsi="宋体" w:eastAsia="宋体" w:cs="Times New Roman"/>
                <w:color w:val="auto"/>
                <w:highlight w:val="none"/>
              </w:rPr>
            </w:pPr>
          </w:p>
        </w:tc>
        <w:tc>
          <w:tcPr>
            <w:tcW w:w="666" w:type="dxa"/>
            <w:vMerge w:val="continue"/>
            <w:noWrap w:val="0"/>
            <w:vAlign w:val="top"/>
          </w:tcPr>
          <w:p w14:paraId="74637D62">
            <w:pPr>
              <w:spacing w:line="400" w:lineRule="exact"/>
              <w:rPr>
                <w:rFonts w:ascii="宋体" w:hAnsi="宋体" w:eastAsia="宋体" w:cs="Times New Roman"/>
                <w:color w:val="auto"/>
                <w:highlight w:val="none"/>
              </w:rPr>
            </w:pPr>
          </w:p>
        </w:tc>
        <w:tc>
          <w:tcPr>
            <w:tcW w:w="2558" w:type="dxa"/>
            <w:gridSpan w:val="3"/>
            <w:noWrap w:val="0"/>
            <w:vAlign w:val="center"/>
          </w:tcPr>
          <w:p w14:paraId="2899BAAE">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格式</w:t>
            </w:r>
          </w:p>
        </w:tc>
        <w:tc>
          <w:tcPr>
            <w:tcW w:w="5493" w:type="dxa"/>
            <w:noWrap w:val="0"/>
            <w:vAlign w:val="center"/>
          </w:tcPr>
          <w:p w14:paraId="50B74954">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w:t>
            </w:r>
            <w:r>
              <w:rPr>
                <w:rFonts w:hint="eastAsia" w:ascii="宋体" w:hAnsi="宋体" w:cs="Times New Roman"/>
                <w:color w:val="auto"/>
                <w:kern w:val="0"/>
                <w:highlight w:val="none"/>
                <w:lang w:val="en-US" w:eastAsia="zh-CN"/>
              </w:rPr>
              <w:t>六</w:t>
            </w:r>
            <w:r>
              <w:rPr>
                <w:rFonts w:ascii="宋体" w:hAnsi="宋体" w:eastAsia="宋体" w:cs="Times New Roman"/>
                <w:color w:val="auto"/>
                <w:kern w:val="0"/>
                <w:highlight w:val="none"/>
              </w:rPr>
              <w:t>章“</w:t>
            </w: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格式”的要求。</w:t>
            </w:r>
          </w:p>
        </w:tc>
      </w:tr>
      <w:tr w14:paraId="5F61C8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3C4EC3B4">
            <w:pPr>
              <w:spacing w:line="400" w:lineRule="exact"/>
              <w:rPr>
                <w:rFonts w:ascii="宋体" w:hAnsi="宋体" w:eastAsia="宋体" w:cs="Times New Roman"/>
                <w:color w:val="auto"/>
                <w:highlight w:val="none"/>
              </w:rPr>
            </w:pPr>
          </w:p>
        </w:tc>
        <w:tc>
          <w:tcPr>
            <w:tcW w:w="666" w:type="dxa"/>
            <w:vMerge w:val="continue"/>
            <w:noWrap w:val="0"/>
            <w:vAlign w:val="top"/>
          </w:tcPr>
          <w:p w14:paraId="4750C69E">
            <w:pPr>
              <w:spacing w:line="400" w:lineRule="exact"/>
              <w:rPr>
                <w:rFonts w:ascii="宋体" w:hAnsi="宋体" w:eastAsia="宋体" w:cs="Times New Roman"/>
                <w:color w:val="auto"/>
                <w:highlight w:val="none"/>
              </w:rPr>
            </w:pPr>
          </w:p>
        </w:tc>
        <w:tc>
          <w:tcPr>
            <w:tcW w:w="2558" w:type="dxa"/>
            <w:gridSpan w:val="3"/>
            <w:noWrap w:val="0"/>
            <w:vAlign w:val="center"/>
          </w:tcPr>
          <w:p w14:paraId="57CE1469">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报价唯一</w:t>
            </w:r>
          </w:p>
        </w:tc>
        <w:tc>
          <w:tcPr>
            <w:tcW w:w="5493" w:type="dxa"/>
            <w:noWrap w:val="0"/>
            <w:vAlign w:val="center"/>
          </w:tcPr>
          <w:p w14:paraId="4BEB2E46">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只能有一个有效报价，在招标文件没有规定的情况下，不得提交选择性报价。</w:t>
            </w:r>
          </w:p>
        </w:tc>
      </w:tr>
      <w:tr w14:paraId="021CF1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08CF65B2">
            <w:pPr>
              <w:spacing w:line="400" w:lineRule="exact"/>
              <w:rPr>
                <w:rFonts w:ascii="宋体" w:hAnsi="宋体" w:eastAsia="宋体" w:cs="Times New Roman"/>
                <w:color w:val="auto"/>
                <w:highlight w:val="none"/>
              </w:rPr>
            </w:pPr>
          </w:p>
        </w:tc>
        <w:tc>
          <w:tcPr>
            <w:tcW w:w="666" w:type="dxa"/>
            <w:vMerge w:val="continue"/>
            <w:noWrap w:val="0"/>
            <w:vAlign w:val="top"/>
          </w:tcPr>
          <w:p w14:paraId="0384E5A5">
            <w:pPr>
              <w:spacing w:line="400" w:lineRule="exact"/>
              <w:rPr>
                <w:rFonts w:ascii="宋体" w:hAnsi="宋体" w:eastAsia="宋体" w:cs="Times New Roman"/>
                <w:color w:val="auto"/>
                <w:highlight w:val="none"/>
              </w:rPr>
            </w:pPr>
          </w:p>
        </w:tc>
        <w:tc>
          <w:tcPr>
            <w:tcW w:w="2558" w:type="dxa"/>
            <w:gridSpan w:val="3"/>
            <w:noWrap w:val="0"/>
            <w:vAlign w:val="center"/>
          </w:tcPr>
          <w:p w14:paraId="3D72ED81">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的签署</w:t>
            </w:r>
          </w:p>
        </w:tc>
        <w:tc>
          <w:tcPr>
            <w:tcW w:w="5493" w:type="dxa"/>
            <w:noWrap w:val="0"/>
            <w:vAlign w:val="center"/>
          </w:tcPr>
          <w:p w14:paraId="772DA85F">
            <w:pPr>
              <w:spacing w:line="400" w:lineRule="exact"/>
              <w:ind w:firstLine="420" w:firstLineChars="200"/>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上法定代表人或其委托代理人的签字（或盖章）齐全。</w:t>
            </w:r>
          </w:p>
        </w:tc>
      </w:tr>
      <w:tr w14:paraId="5FA21F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6474A80C">
            <w:pPr>
              <w:spacing w:line="400" w:lineRule="exact"/>
              <w:rPr>
                <w:rFonts w:ascii="宋体" w:hAnsi="宋体" w:eastAsia="宋体" w:cs="Times New Roman"/>
                <w:color w:val="auto"/>
                <w:highlight w:val="none"/>
              </w:rPr>
            </w:pPr>
          </w:p>
        </w:tc>
        <w:tc>
          <w:tcPr>
            <w:tcW w:w="666" w:type="dxa"/>
            <w:vMerge w:val="continue"/>
            <w:noWrap w:val="0"/>
            <w:vAlign w:val="top"/>
          </w:tcPr>
          <w:p w14:paraId="52BD7372">
            <w:pPr>
              <w:spacing w:line="400" w:lineRule="exact"/>
              <w:rPr>
                <w:rFonts w:ascii="宋体" w:hAnsi="宋体" w:eastAsia="宋体" w:cs="Times New Roman"/>
                <w:color w:val="auto"/>
                <w:highlight w:val="none"/>
              </w:rPr>
            </w:pPr>
          </w:p>
        </w:tc>
        <w:tc>
          <w:tcPr>
            <w:tcW w:w="2558" w:type="dxa"/>
            <w:gridSpan w:val="3"/>
            <w:noWrap w:val="0"/>
            <w:vAlign w:val="center"/>
          </w:tcPr>
          <w:p w14:paraId="1E635F50">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委托代理人</w:t>
            </w:r>
          </w:p>
        </w:tc>
        <w:tc>
          <w:tcPr>
            <w:tcW w:w="5493" w:type="dxa"/>
            <w:noWrap w:val="0"/>
            <w:vAlign w:val="center"/>
          </w:tcPr>
          <w:p w14:paraId="41CB7819">
            <w:pPr>
              <w:spacing w:line="400" w:lineRule="exact"/>
              <w:ind w:firstLine="420" w:firstLineChars="200"/>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人法定代表人的委托代理人有法定代表人签署的授权委托书。</w:t>
            </w:r>
          </w:p>
        </w:tc>
      </w:tr>
      <w:tr w14:paraId="361292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restart"/>
            <w:noWrap w:val="0"/>
            <w:vAlign w:val="center"/>
          </w:tcPr>
          <w:p w14:paraId="1F1C2FC3">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2.1.2</w:t>
            </w:r>
          </w:p>
        </w:tc>
        <w:tc>
          <w:tcPr>
            <w:tcW w:w="666" w:type="dxa"/>
            <w:vMerge w:val="restart"/>
            <w:noWrap w:val="0"/>
            <w:vAlign w:val="center"/>
          </w:tcPr>
          <w:p w14:paraId="0DD84432">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资格评审标准</w:t>
            </w:r>
          </w:p>
        </w:tc>
        <w:tc>
          <w:tcPr>
            <w:tcW w:w="2558" w:type="dxa"/>
            <w:gridSpan w:val="3"/>
            <w:tcBorders>
              <w:bottom w:val="single" w:color="auto" w:sz="4" w:space="0"/>
            </w:tcBorders>
            <w:noWrap w:val="0"/>
            <w:vAlign w:val="center"/>
          </w:tcPr>
          <w:p w14:paraId="15F2288E">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营业执照</w:t>
            </w:r>
          </w:p>
        </w:tc>
        <w:tc>
          <w:tcPr>
            <w:tcW w:w="5493" w:type="dxa"/>
            <w:noWrap w:val="0"/>
            <w:vAlign w:val="center"/>
          </w:tcPr>
          <w:p w14:paraId="2A67B7D0">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000657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3B93E946">
            <w:pPr>
              <w:spacing w:line="400" w:lineRule="exact"/>
              <w:rPr>
                <w:rFonts w:ascii="宋体" w:hAnsi="宋体" w:eastAsia="宋体" w:cs="Times New Roman"/>
                <w:color w:val="auto"/>
                <w:highlight w:val="none"/>
              </w:rPr>
            </w:pPr>
          </w:p>
        </w:tc>
        <w:tc>
          <w:tcPr>
            <w:tcW w:w="666" w:type="dxa"/>
            <w:vMerge w:val="continue"/>
            <w:noWrap w:val="0"/>
            <w:vAlign w:val="top"/>
          </w:tcPr>
          <w:p w14:paraId="2205B21E">
            <w:pPr>
              <w:spacing w:line="400" w:lineRule="exact"/>
              <w:rPr>
                <w:rFonts w:ascii="宋体" w:hAnsi="宋体" w:eastAsia="宋体" w:cs="Times New Roman"/>
                <w:color w:val="auto"/>
                <w:highlight w:val="none"/>
              </w:rPr>
            </w:pPr>
          </w:p>
        </w:tc>
        <w:tc>
          <w:tcPr>
            <w:tcW w:w="2558" w:type="dxa"/>
            <w:gridSpan w:val="3"/>
            <w:tcBorders>
              <w:top w:val="single" w:color="auto" w:sz="4" w:space="0"/>
              <w:bottom w:val="single" w:color="auto" w:sz="4" w:space="0"/>
            </w:tcBorders>
            <w:noWrap w:val="0"/>
            <w:vAlign w:val="top"/>
          </w:tcPr>
          <w:p w14:paraId="6ED61BFE">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szCs w:val="21"/>
                <w:highlight w:val="none"/>
                <w:lang w:eastAsia="zh-CN"/>
              </w:rPr>
              <w:t>竞标</w:t>
            </w:r>
            <w:r>
              <w:rPr>
                <w:rFonts w:ascii="宋体" w:hAnsi="宋体" w:eastAsia="宋体" w:cs="Times New Roman"/>
                <w:color w:val="auto"/>
                <w:szCs w:val="21"/>
                <w:highlight w:val="none"/>
              </w:rPr>
              <w:t>截止日</w:t>
            </w:r>
            <w:r>
              <w:rPr>
                <w:rFonts w:hint="eastAsia" w:ascii="宋体" w:hAnsi="宋体" w:eastAsia="宋体" w:cs="Times New Roman"/>
                <w:color w:val="auto"/>
                <w:szCs w:val="21"/>
                <w:highlight w:val="none"/>
                <w:lang w:eastAsia="zh-CN"/>
              </w:rPr>
              <w:t>竞标</w:t>
            </w:r>
            <w:r>
              <w:rPr>
                <w:rFonts w:ascii="宋体" w:hAnsi="宋体" w:eastAsia="宋体" w:cs="Times New Roman"/>
                <w:color w:val="auto"/>
                <w:szCs w:val="21"/>
                <w:highlight w:val="none"/>
              </w:rPr>
              <w:t>资格情况</w:t>
            </w:r>
          </w:p>
        </w:tc>
        <w:tc>
          <w:tcPr>
            <w:tcW w:w="5493" w:type="dxa"/>
            <w:noWrap w:val="0"/>
            <w:vAlign w:val="center"/>
          </w:tcPr>
          <w:p w14:paraId="22F6E9BD">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327EB5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34EE0857">
            <w:pPr>
              <w:spacing w:line="400" w:lineRule="exact"/>
              <w:rPr>
                <w:rFonts w:ascii="宋体" w:hAnsi="宋体" w:eastAsia="宋体" w:cs="Times New Roman"/>
                <w:color w:val="auto"/>
                <w:highlight w:val="none"/>
              </w:rPr>
            </w:pPr>
          </w:p>
        </w:tc>
        <w:tc>
          <w:tcPr>
            <w:tcW w:w="666" w:type="dxa"/>
            <w:vMerge w:val="continue"/>
            <w:noWrap w:val="0"/>
            <w:vAlign w:val="top"/>
          </w:tcPr>
          <w:p w14:paraId="548CAC9C">
            <w:pPr>
              <w:spacing w:line="400" w:lineRule="exact"/>
              <w:rPr>
                <w:rFonts w:ascii="宋体" w:hAnsi="宋体" w:eastAsia="宋体" w:cs="Times New Roman"/>
                <w:color w:val="auto"/>
                <w:highlight w:val="none"/>
              </w:rPr>
            </w:pPr>
          </w:p>
        </w:tc>
        <w:tc>
          <w:tcPr>
            <w:tcW w:w="2558" w:type="dxa"/>
            <w:gridSpan w:val="3"/>
            <w:tcBorders>
              <w:top w:val="single" w:color="auto" w:sz="4" w:space="0"/>
              <w:bottom w:val="single" w:color="auto" w:sz="4" w:space="0"/>
            </w:tcBorders>
            <w:noWrap w:val="0"/>
            <w:vAlign w:val="top"/>
          </w:tcPr>
          <w:p w14:paraId="507D0260">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其他要求</w:t>
            </w:r>
          </w:p>
        </w:tc>
        <w:tc>
          <w:tcPr>
            <w:tcW w:w="5493" w:type="dxa"/>
            <w:noWrap w:val="0"/>
            <w:vAlign w:val="center"/>
          </w:tcPr>
          <w:p w14:paraId="3DADE249">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1B9D67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restart"/>
            <w:noWrap w:val="0"/>
            <w:vAlign w:val="center"/>
          </w:tcPr>
          <w:p w14:paraId="236BDED9">
            <w:pPr>
              <w:spacing w:line="400" w:lineRule="exact"/>
              <w:jc w:val="center"/>
              <w:rPr>
                <w:rFonts w:ascii="宋体" w:hAnsi="宋体" w:eastAsia="宋体" w:cs="Times New Roman"/>
                <w:color w:val="auto"/>
                <w:highlight w:val="none"/>
              </w:rPr>
            </w:pPr>
            <w:r>
              <w:rPr>
                <w:rFonts w:ascii="宋体" w:hAnsi="宋体" w:eastAsia="宋体" w:cs="Times New Roman"/>
                <w:color w:val="auto"/>
                <w:kern w:val="0"/>
                <w:highlight w:val="none"/>
              </w:rPr>
              <w:t>2.1.3</w:t>
            </w:r>
          </w:p>
        </w:tc>
        <w:tc>
          <w:tcPr>
            <w:tcW w:w="666" w:type="dxa"/>
            <w:vMerge w:val="restart"/>
            <w:noWrap w:val="0"/>
            <w:vAlign w:val="center"/>
          </w:tcPr>
          <w:p w14:paraId="49E37CF3">
            <w:pPr>
              <w:spacing w:line="400" w:lineRule="exact"/>
              <w:jc w:val="center"/>
              <w:rPr>
                <w:rFonts w:ascii="宋体" w:hAnsi="宋体" w:eastAsia="宋体" w:cs="Times New Roman"/>
                <w:color w:val="auto"/>
                <w:highlight w:val="none"/>
              </w:rPr>
            </w:pPr>
            <w:r>
              <w:rPr>
                <w:rFonts w:ascii="宋体" w:hAnsi="宋体" w:eastAsia="宋体" w:cs="Times New Roman"/>
                <w:color w:val="auto"/>
                <w:kern w:val="0"/>
                <w:highlight w:val="none"/>
              </w:rPr>
              <w:t>响应性评审标准</w:t>
            </w:r>
          </w:p>
        </w:tc>
        <w:tc>
          <w:tcPr>
            <w:tcW w:w="2558" w:type="dxa"/>
            <w:gridSpan w:val="3"/>
            <w:noWrap w:val="0"/>
            <w:vAlign w:val="center"/>
          </w:tcPr>
          <w:p w14:paraId="189FAD31">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w:t>
            </w:r>
          </w:p>
        </w:tc>
        <w:tc>
          <w:tcPr>
            <w:tcW w:w="5493" w:type="dxa"/>
            <w:noWrap w:val="0"/>
            <w:vAlign w:val="center"/>
          </w:tcPr>
          <w:p w14:paraId="1AD3A434">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投标总报价不得高于</w:t>
            </w:r>
            <w:r>
              <w:rPr>
                <w:rFonts w:hint="eastAsia" w:ascii="宋体" w:hAnsi="宋体" w:eastAsia="宋体" w:cs="Times New Roman"/>
                <w:color w:val="auto"/>
                <w:kern w:val="0"/>
                <w:highlight w:val="none"/>
                <w:lang w:eastAsia="zh-CN"/>
              </w:rPr>
              <w:t>比选人</w:t>
            </w:r>
            <w:r>
              <w:rPr>
                <w:rFonts w:ascii="宋体" w:hAnsi="宋体" w:eastAsia="宋体" w:cs="Times New Roman"/>
                <w:color w:val="auto"/>
                <w:kern w:val="0"/>
                <w:highlight w:val="none"/>
              </w:rPr>
              <w:t>公布的投标总报价最高限价</w:t>
            </w:r>
            <w:r>
              <w:rPr>
                <w:rFonts w:hint="eastAsia" w:ascii="宋体" w:hAnsi="宋体" w:eastAsia="宋体" w:cs="Times New Roman"/>
                <w:color w:val="auto"/>
                <w:kern w:val="0"/>
                <w:highlight w:val="none"/>
              </w:rPr>
              <w:t>。</w:t>
            </w:r>
          </w:p>
        </w:tc>
      </w:tr>
      <w:tr w14:paraId="362A84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center"/>
          </w:tcPr>
          <w:p w14:paraId="6EDA9EBD">
            <w:pPr>
              <w:spacing w:line="400" w:lineRule="exact"/>
              <w:jc w:val="center"/>
              <w:rPr>
                <w:rFonts w:ascii="宋体" w:hAnsi="宋体" w:eastAsia="宋体" w:cs="Times New Roman"/>
                <w:color w:val="auto"/>
                <w:kern w:val="0"/>
                <w:highlight w:val="none"/>
              </w:rPr>
            </w:pPr>
          </w:p>
        </w:tc>
        <w:tc>
          <w:tcPr>
            <w:tcW w:w="666" w:type="dxa"/>
            <w:vMerge w:val="continue"/>
            <w:noWrap w:val="0"/>
            <w:textDirection w:val="tbRlV"/>
            <w:vAlign w:val="center"/>
          </w:tcPr>
          <w:p w14:paraId="00DE7291">
            <w:pPr>
              <w:spacing w:line="400" w:lineRule="exact"/>
              <w:jc w:val="center"/>
              <w:rPr>
                <w:rFonts w:ascii="宋体" w:hAnsi="宋体" w:eastAsia="宋体" w:cs="Times New Roman"/>
                <w:color w:val="auto"/>
                <w:kern w:val="0"/>
                <w:highlight w:val="none"/>
              </w:rPr>
            </w:pPr>
          </w:p>
        </w:tc>
        <w:tc>
          <w:tcPr>
            <w:tcW w:w="2558" w:type="dxa"/>
            <w:gridSpan w:val="3"/>
            <w:noWrap w:val="0"/>
            <w:vAlign w:val="center"/>
          </w:tcPr>
          <w:p w14:paraId="712A2D02">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内容</w:t>
            </w:r>
          </w:p>
        </w:tc>
        <w:tc>
          <w:tcPr>
            <w:tcW w:w="5493" w:type="dxa"/>
            <w:noWrap w:val="0"/>
            <w:vAlign w:val="center"/>
          </w:tcPr>
          <w:p w14:paraId="50C93243">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人须知”第1.3.1项规定</w:t>
            </w:r>
          </w:p>
        </w:tc>
      </w:tr>
      <w:tr w14:paraId="0D8D0B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28A93F96">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46D8B301">
            <w:pPr>
              <w:spacing w:line="400" w:lineRule="exact"/>
              <w:jc w:val="center"/>
              <w:rPr>
                <w:rFonts w:ascii="宋体" w:hAnsi="宋体" w:eastAsia="宋体" w:cs="Times New Roman"/>
                <w:color w:val="auto"/>
                <w:highlight w:val="none"/>
              </w:rPr>
            </w:pPr>
          </w:p>
        </w:tc>
        <w:tc>
          <w:tcPr>
            <w:tcW w:w="2558" w:type="dxa"/>
            <w:gridSpan w:val="3"/>
            <w:noWrap w:val="0"/>
            <w:vAlign w:val="center"/>
          </w:tcPr>
          <w:p w14:paraId="3E253C05">
            <w:pPr>
              <w:spacing w:line="400" w:lineRule="exact"/>
              <w:jc w:val="center"/>
              <w:rPr>
                <w:rFonts w:hint="eastAsia" w:ascii="宋体" w:hAnsi="宋体" w:eastAsia="宋体" w:cs="Times New Roman"/>
                <w:color w:val="auto"/>
                <w:kern w:val="0"/>
                <w:highlight w:val="none"/>
                <w:lang w:eastAsia="zh-CN"/>
              </w:rPr>
            </w:pPr>
            <w:r>
              <w:rPr>
                <w:rFonts w:hint="eastAsia" w:ascii="宋体" w:hAnsi="宋体" w:cs="Times New Roman"/>
                <w:color w:val="auto"/>
                <w:kern w:val="0"/>
                <w:highlight w:val="none"/>
                <w:lang w:val="en-US" w:eastAsia="zh-CN"/>
              </w:rPr>
              <w:t>服务期</w:t>
            </w:r>
          </w:p>
        </w:tc>
        <w:tc>
          <w:tcPr>
            <w:tcW w:w="5493" w:type="dxa"/>
            <w:noWrap w:val="0"/>
            <w:vAlign w:val="center"/>
          </w:tcPr>
          <w:p w14:paraId="60146C48">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人须知”第1.3.2项规定</w:t>
            </w:r>
          </w:p>
        </w:tc>
      </w:tr>
      <w:tr w14:paraId="21C171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44F037E3">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41C14DD0">
            <w:pPr>
              <w:spacing w:line="400" w:lineRule="exact"/>
              <w:jc w:val="center"/>
              <w:rPr>
                <w:rFonts w:ascii="宋体" w:hAnsi="宋体" w:eastAsia="宋体" w:cs="Times New Roman"/>
                <w:color w:val="auto"/>
                <w:highlight w:val="none"/>
              </w:rPr>
            </w:pPr>
          </w:p>
        </w:tc>
        <w:tc>
          <w:tcPr>
            <w:tcW w:w="2558" w:type="dxa"/>
            <w:gridSpan w:val="3"/>
            <w:noWrap w:val="0"/>
            <w:vAlign w:val="center"/>
          </w:tcPr>
          <w:p w14:paraId="2C5BCA56">
            <w:pPr>
              <w:spacing w:line="400" w:lineRule="exact"/>
              <w:jc w:val="center"/>
              <w:rPr>
                <w:rFonts w:hint="eastAsia" w:ascii="宋体" w:hAnsi="宋体" w:eastAsia="宋体" w:cs="Times New Roman"/>
                <w:color w:val="auto"/>
                <w:kern w:val="0"/>
                <w:highlight w:val="none"/>
                <w:lang w:val="en-US" w:eastAsia="zh-CN"/>
              </w:rPr>
            </w:pPr>
            <w:r>
              <w:rPr>
                <w:rFonts w:ascii="宋体" w:hAnsi="宋体" w:eastAsia="宋体" w:cs="Times New Roman"/>
                <w:color w:val="auto"/>
                <w:kern w:val="0"/>
                <w:highlight w:val="none"/>
              </w:rPr>
              <w:t>质量</w:t>
            </w:r>
            <w:r>
              <w:rPr>
                <w:rFonts w:hint="eastAsia" w:ascii="宋体" w:hAnsi="宋体" w:cs="Times New Roman"/>
                <w:color w:val="auto"/>
                <w:kern w:val="0"/>
                <w:highlight w:val="none"/>
                <w:lang w:val="en-US" w:eastAsia="zh-CN"/>
              </w:rPr>
              <w:t>要求</w:t>
            </w:r>
          </w:p>
        </w:tc>
        <w:tc>
          <w:tcPr>
            <w:tcW w:w="5493" w:type="dxa"/>
            <w:noWrap w:val="0"/>
            <w:vAlign w:val="center"/>
          </w:tcPr>
          <w:p w14:paraId="59817655">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人须知”第1.3.3项规定</w:t>
            </w:r>
          </w:p>
        </w:tc>
      </w:tr>
      <w:tr w14:paraId="26E19B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7FE628CF">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6CACA3AC">
            <w:pPr>
              <w:spacing w:line="400" w:lineRule="exact"/>
              <w:jc w:val="center"/>
              <w:rPr>
                <w:rFonts w:ascii="宋体" w:hAnsi="宋体" w:eastAsia="宋体" w:cs="Times New Roman"/>
                <w:color w:val="auto"/>
                <w:highlight w:val="none"/>
              </w:rPr>
            </w:pPr>
          </w:p>
        </w:tc>
        <w:tc>
          <w:tcPr>
            <w:tcW w:w="2558" w:type="dxa"/>
            <w:gridSpan w:val="3"/>
            <w:noWrap w:val="0"/>
            <w:vAlign w:val="center"/>
          </w:tcPr>
          <w:p w14:paraId="202A07AB">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有效期</w:t>
            </w:r>
          </w:p>
        </w:tc>
        <w:tc>
          <w:tcPr>
            <w:tcW w:w="5493" w:type="dxa"/>
            <w:noWrap w:val="0"/>
            <w:vAlign w:val="center"/>
          </w:tcPr>
          <w:p w14:paraId="4DA340A0">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人须知”第3.3.1项规定</w:t>
            </w:r>
          </w:p>
        </w:tc>
      </w:tr>
      <w:tr w14:paraId="0FBA45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5CD6F355">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4422D08E">
            <w:pPr>
              <w:spacing w:line="400" w:lineRule="exact"/>
              <w:jc w:val="center"/>
              <w:rPr>
                <w:rFonts w:ascii="宋体" w:hAnsi="宋体" w:eastAsia="宋体" w:cs="Times New Roman"/>
                <w:color w:val="auto"/>
                <w:highlight w:val="none"/>
              </w:rPr>
            </w:pPr>
          </w:p>
        </w:tc>
        <w:tc>
          <w:tcPr>
            <w:tcW w:w="2558" w:type="dxa"/>
            <w:gridSpan w:val="3"/>
            <w:noWrap w:val="0"/>
            <w:vAlign w:val="center"/>
          </w:tcPr>
          <w:p w14:paraId="1D0901D8">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投标保证金</w:t>
            </w:r>
          </w:p>
        </w:tc>
        <w:tc>
          <w:tcPr>
            <w:tcW w:w="5493" w:type="dxa"/>
            <w:noWrap w:val="0"/>
            <w:vAlign w:val="center"/>
          </w:tcPr>
          <w:p w14:paraId="1DB0D5C2">
            <w:pPr>
              <w:tabs>
                <w:tab w:val="left" w:pos="601"/>
                <w:tab w:val="left" w:pos="669"/>
              </w:tabs>
              <w:snapToGrid w:val="0"/>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szCs w:val="21"/>
                <w:highlight w:val="none"/>
              </w:rPr>
              <w:t>符合第二章</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须知前附表第3.4项</w:t>
            </w:r>
            <w:r>
              <w:rPr>
                <w:rFonts w:ascii="宋体" w:hAnsi="宋体" w:eastAsia="宋体" w:cs="Times New Roman"/>
                <w:color w:val="auto"/>
                <w:kern w:val="0"/>
                <w:highlight w:val="none"/>
              </w:rPr>
              <w:t>规定</w:t>
            </w:r>
          </w:p>
        </w:tc>
      </w:tr>
      <w:tr w14:paraId="54E39F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26610FBE">
            <w:pPr>
              <w:spacing w:line="400" w:lineRule="exact"/>
              <w:jc w:val="center"/>
              <w:rPr>
                <w:rFonts w:ascii="宋体" w:hAnsi="宋体" w:eastAsia="宋体" w:cs="Times New Roman"/>
                <w:color w:val="auto"/>
                <w:highlight w:val="none"/>
              </w:rPr>
            </w:pPr>
          </w:p>
        </w:tc>
        <w:tc>
          <w:tcPr>
            <w:tcW w:w="666" w:type="dxa"/>
            <w:vMerge w:val="continue"/>
            <w:noWrap w:val="0"/>
            <w:vAlign w:val="top"/>
          </w:tcPr>
          <w:p w14:paraId="6957F07E">
            <w:pPr>
              <w:spacing w:line="400" w:lineRule="exact"/>
              <w:jc w:val="center"/>
              <w:rPr>
                <w:rFonts w:ascii="宋体" w:hAnsi="宋体" w:eastAsia="宋体" w:cs="Times New Roman"/>
                <w:color w:val="auto"/>
                <w:highlight w:val="none"/>
              </w:rPr>
            </w:pPr>
          </w:p>
        </w:tc>
        <w:tc>
          <w:tcPr>
            <w:tcW w:w="2558" w:type="dxa"/>
            <w:gridSpan w:val="3"/>
            <w:noWrap w:val="0"/>
            <w:vAlign w:val="center"/>
          </w:tcPr>
          <w:p w14:paraId="7E1D9C52">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权利义务</w:t>
            </w:r>
          </w:p>
        </w:tc>
        <w:tc>
          <w:tcPr>
            <w:tcW w:w="5493" w:type="dxa"/>
            <w:noWrap w:val="0"/>
            <w:vAlign w:val="center"/>
          </w:tcPr>
          <w:p w14:paraId="3DF8418F">
            <w:pPr>
              <w:spacing w:after="62" w:afterLines="20"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符合第四章“合同条款及格式”规定，</w:t>
            </w: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不应附有</w:t>
            </w:r>
            <w:r>
              <w:rPr>
                <w:rFonts w:hint="eastAsia" w:ascii="宋体" w:hAnsi="宋体" w:eastAsia="宋体" w:cs="Times New Roman"/>
                <w:color w:val="auto"/>
                <w:kern w:val="0"/>
                <w:highlight w:val="none"/>
                <w:lang w:eastAsia="zh-CN"/>
              </w:rPr>
              <w:t>比选人</w:t>
            </w:r>
            <w:r>
              <w:rPr>
                <w:rFonts w:ascii="宋体" w:hAnsi="宋体" w:eastAsia="宋体" w:cs="Times New Roman"/>
                <w:color w:val="auto"/>
                <w:kern w:val="0"/>
                <w:highlight w:val="none"/>
              </w:rPr>
              <w:t>不能接受的条件。</w:t>
            </w:r>
          </w:p>
        </w:tc>
      </w:tr>
      <w:tr w14:paraId="62D7B8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293D1869">
            <w:pPr>
              <w:spacing w:line="400" w:lineRule="exact"/>
              <w:rPr>
                <w:rFonts w:ascii="宋体" w:hAnsi="宋体" w:eastAsia="宋体" w:cs="Times New Roman"/>
                <w:color w:val="auto"/>
                <w:highlight w:val="none"/>
              </w:rPr>
            </w:pPr>
          </w:p>
        </w:tc>
        <w:tc>
          <w:tcPr>
            <w:tcW w:w="666" w:type="dxa"/>
            <w:vMerge w:val="continue"/>
            <w:noWrap w:val="0"/>
            <w:vAlign w:val="top"/>
          </w:tcPr>
          <w:p w14:paraId="17C57F8C">
            <w:pPr>
              <w:spacing w:line="400" w:lineRule="exact"/>
              <w:rPr>
                <w:rFonts w:ascii="宋体" w:hAnsi="宋体" w:eastAsia="宋体" w:cs="Times New Roman"/>
                <w:color w:val="auto"/>
                <w:highlight w:val="none"/>
              </w:rPr>
            </w:pPr>
          </w:p>
        </w:tc>
        <w:tc>
          <w:tcPr>
            <w:tcW w:w="2558" w:type="dxa"/>
            <w:gridSpan w:val="3"/>
            <w:noWrap w:val="0"/>
            <w:vAlign w:val="center"/>
          </w:tcPr>
          <w:p w14:paraId="51379657">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技术标准和要求</w:t>
            </w:r>
          </w:p>
        </w:tc>
        <w:tc>
          <w:tcPr>
            <w:tcW w:w="5493" w:type="dxa"/>
            <w:noWrap w:val="0"/>
            <w:vAlign w:val="center"/>
          </w:tcPr>
          <w:p w14:paraId="480E76C2">
            <w:pPr>
              <w:spacing w:line="400" w:lineRule="exact"/>
              <w:ind w:firstLine="420" w:firstLineChars="200"/>
              <w:rPr>
                <w:rFonts w:hint="eastAsia" w:ascii="宋体" w:hAnsi="宋体" w:eastAsia="宋体" w:cs="Times New Roman"/>
                <w:color w:val="auto"/>
                <w:kern w:val="0"/>
                <w:highlight w:val="none"/>
              </w:rPr>
            </w:pPr>
            <w:r>
              <w:rPr>
                <w:rFonts w:ascii="宋体" w:hAnsi="宋体" w:eastAsia="宋体" w:cs="Times New Roman"/>
                <w:color w:val="auto"/>
                <w:kern w:val="0"/>
                <w:highlight w:val="none"/>
              </w:rPr>
              <w:t>符合第</w:t>
            </w:r>
            <w:r>
              <w:rPr>
                <w:rFonts w:hint="eastAsia" w:ascii="宋体" w:hAnsi="宋体" w:cs="Times New Roman"/>
                <w:color w:val="auto"/>
                <w:kern w:val="0"/>
                <w:highlight w:val="none"/>
                <w:lang w:val="en-US" w:eastAsia="zh-CN"/>
              </w:rPr>
              <w:t>五</w:t>
            </w:r>
            <w:r>
              <w:rPr>
                <w:rFonts w:ascii="宋体" w:hAnsi="宋体" w:eastAsia="宋体" w:cs="Times New Roman"/>
                <w:color w:val="auto"/>
                <w:kern w:val="0"/>
                <w:highlight w:val="none"/>
              </w:rPr>
              <w:t>章“技术标准和要求”规定。</w:t>
            </w:r>
          </w:p>
        </w:tc>
      </w:tr>
      <w:tr w14:paraId="4D374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38ADE174">
            <w:pPr>
              <w:spacing w:line="400" w:lineRule="exact"/>
              <w:rPr>
                <w:rFonts w:ascii="宋体" w:hAnsi="宋体" w:eastAsia="宋体" w:cs="Times New Roman"/>
                <w:color w:val="auto"/>
                <w:highlight w:val="none"/>
              </w:rPr>
            </w:pPr>
          </w:p>
        </w:tc>
        <w:tc>
          <w:tcPr>
            <w:tcW w:w="666" w:type="dxa"/>
            <w:vMerge w:val="continue"/>
            <w:noWrap w:val="0"/>
            <w:vAlign w:val="top"/>
          </w:tcPr>
          <w:p w14:paraId="28202041">
            <w:pPr>
              <w:spacing w:line="400" w:lineRule="exact"/>
              <w:rPr>
                <w:rFonts w:ascii="宋体" w:hAnsi="宋体" w:eastAsia="宋体" w:cs="Times New Roman"/>
                <w:color w:val="auto"/>
                <w:highlight w:val="none"/>
              </w:rPr>
            </w:pPr>
          </w:p>
        </w:tc>
        <w:tc>
          <w:tcPr>
            <w:tcW w:w="2558" w:type="dxa"/>
            <w:gridSpan w:val="3"/>
            <w:noWrap w:val="0"/>
            <w:vAlign w:val="center"/>
          </w:tcPr>
          <w:p w14:paraId="2681211C">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竞标报价</w:t>
            </w:r>
            <w:r>
              <w:rPr>
                <w:rFonts w:ascii="宋体" w:hAnsi="宋体" w:eastAsia="宋体" w:cs="Times New Roman"/>
                <w:color w:val="auto"/>
                <w:kern w:val="0"/>
                <w:highlight w:val="none"/>
              </w:rPr>
              <w:t>算术错误修正</w:t>
            </w:r>
          </w:p>
        </w:tc>
        <w:tc>
          <w:tcPr>
            <w:tcW w:w="5493" w:type="dxa"/>
            <w:noWrap w:val="0"/>
            <w:vAlign w:val="center"/>
          </w:tcPr>
          <w:p w14:paraId="6219EAE2">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符合第三章3.评标程序第3.1.3项规定。</w:t>
            </w:r>
          </w:p>
        </w:tc>
      </w:tr>
      <w:tr w14:paraId="7FA3B3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0D95D9E7">
            <w:pPr>
              <w:spacing w:line="400" w:lineRule="exact"/>
              <w:rPr>
                <w:rFonts w:ascii="宋体" w:hAnsi="宋体" w:eastAsia="宋体" w:cs="Times New Roman"/>
                <w:color w:val="auto"/>
                <w:highlight w:val="none"/>
              </w:rPr>
            </w:pPr>
          </w:p>
        </w:tc>
        <w:tc>
          <w:tcPr>
            <w:tcW w:w="666" w:type="dxa"/>
            <w:vMerge w:val="continue"/>
            <w:noWrap w:val="0"/>
            <w:vAlign w:val="top"/>
          </w:tcPr>
          <w:p w14:paraId="781A30A2">
            <w:pPr>
              <w:spacing w:line="400" w:lineRule="exact"/>
              <w:rPr>
                <w:rFonts w:ascii="宋体" w:hAnsi="宋体" w:eastAsia="宋体" w:cs="Times New Roman"/>
                <w:color w:val="auto"/>
                <w:highlight w:val="none"/>
              </w:rPr>
            </w:pPr>
          </w:p>
        </w:tc>
        <w:tc>
          <w:tcPr>
            <w:tcW w:w="2558" w:type="dxa"/>
            <w:gridSpan w:val="3"/>
            <w:noWrap w:val="0"/>
            <w:vAlign w:val="center"/>
          </w:tcPr>
          <w:p w14:paraId="58727EAF">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实质性要求</w:t>
            </w:r>
          </w:p>
        </w:tc>
        <w:tc>
          <w:tcPr>
            <w:tcW w:w="5493" w:type="dxa"/>
            <w:noWrap w:val="0"/>
            <w:vAlign w:val="center"/>
          </w:tcPr>
          <w:p w14:paraId="200DABF0">
            <w:pPr>
              <w:spacing w:after="62" w:afterLines="20"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涉嫌</w:t>
            </w:r>
            <w:r>
              <w:rPr>
                <w:rFonts w:hint="eastAsia" w:ascii="宋体" w:hAnsi="宋体" w:eastAsia="宋体" w:cs="Times New Roman"/>
                <w:color w:val="auto"/>
                <w:kern w:val="0"/>
                <w:highlight w:val="none"/>
              </w:rPr>
              <w:t>串通投标</w:t>
            </w:r>
            <w:r>
              <w:rPr>
                <w:rFonts w:ascii="宋体" w:hAnsi="宋体" w:eastAsia="宋体" w:cs="Times New Roman"/>
                <w:color w:val="auto"/>
                <w:kern w:val="0"/>
                <w:highlight w:val="none"/>
              </w:rPr>
              <w:t>、弄虚作假等其他违反招投标相关法律、法规行为的。</w:t>
            </w:r>
          </w:p>
        </w:tc>
      </w:tr>
      <w:bookmarkEnd w:id="370"/>
      <w:bookmarkEnd w:id="371"/>
      <w:bookmarkEnd w:id="372"/>
      <w:bookmarkEnd w:id="373"/>
      <w:bookmarkEnd w:id="374"/>
      <w:tr w14:paraId="3F0315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18" w:type="dxa"/>
            <w:gridSpan w:val="2"/>
            <w:noWrap w:val="0"/>
            <w:vAlign w:val="center"/>
          </w:tcPr>
          <w:p w14:paraId="71636F40">
            <w:pPr>
              <w:spacing w:line="400" w:lineRule="exact"/>
              <w:ind w:firstLine="210" w:firstLineChars="100"/>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2.2.1</w:t>
            </w:r>
          </w:p>
        </w:tc>
        <w:tc>
          <w:tcPr>
            <w:tcW w:w="2558" w:type="dxa"/>
            <w:gridSpan w:val="3"/>
            <w:shd w:val="clear" w:color="auto" w:fill="auto"/>
            <w:noWrap w:val="0"/>
            <w:vAlign w:val="center"/>
          </w:tcPr>
          <w:p w14:paraId="35A94825">
            <w:pPr>
              <w:tabs>
                <w:tab w:val="left" w:pos="1875"/>
              </w:tabs>
              <w:spacing w:line="400" w:lineRule="exact"/>
              <w:jc w:val="center"/>
              <w:rPr>
                <w:rFonts w:ascii="宋体" w:hAnsi="宋体" w:eastAsia="宋体" w:cs="Times New Roman"/>
                <w:color w:val="auto"/>
                <w:kern w:val="0"/>
                <w:highlight w:val="none"/>
                <w:shd w:val="clear" w:color="auto" w:fill="auto"/>
              </w:rPr>
            </w:pPr>
            <w:r>
              <w:rPr>
                <w:rFonts w:ascii="宋体" w:hAnsi="宋体" w:eastAsia="宋体" w:cs="Times New Roman"/>
                <w:color w:val="auto"/>
                <w:kern w:val="0"/>
                <w:highlight w:val="none"/>
                <w:shd w:val="clear" w:color="auto" w:fill="auto"/>
              </w:rPr>
              <w:t>分值构成 （总分1</w:t>
            </w:r>
            <w:r>
              <w:rPr>
                <w:rFonts w:hint="eastAsia" w:ascii="宋体" w:hAnsi="宋体" w:eastAsia="宋体" w:cs="Times New Roman"/>
                <w:color w:val="auto"/>
                <w:kern w:val="0"/>
                <w:highlight w:val="none"/>
                <w:shd w:val="clear" w:color="auto" w:fill="auto"/>
              </w:rPr>
              <w:t>00</w:t>
            </w:r>
            <w:r>
              <w:rPr>
                <w:rFonts w:ascii="宋体" w:hAnsi="宋体" w:eastAsia="宋体" w:cs="Times New Roman"/>
                <w:color w:val="auto"/>
                <w:kern w:val="0"/>
                <w:highlight w:val="none"/>
                <w:shd w:val="clear" w:color="auto" w:fill="auto"/>
              </w:rPr>
              <w:t>分）</w:t>
            </w:r>
          </w:p>
        </w:tc>
        <w:tc>
          <w:tcPr>
            <w:tcW w:w="5493" w:type="dxa"/>
            <w:shd w:val="clear" w:color="auto" w:fill="auto"/>
            <w:noWrap w:val="0"/>
            <w:vAlign w:val="center"/>
          </w:tcPr>
          <w:p w14:paraId="2984599B">
            <w:pPr>
              <w:snapToGrid w:val="0"/>
              <w:spacing w:line="400" w:lineRule="exact"/>
              <w:ind w:firstLine="420" w:firstLineChars="200"/>
              <w:rPr>
                <w:rFonts w:hint="eastAsia" w:ascii="宋体" w:hAnsi="宋体" w:eastAsia="宋体" w:cs="Times New Roman"/>
                <w:color w:val="auto"/>
                <w:kern w:val="0"/>
                <w:highlight w:val="none"/>
                <w:shd w:val="clear" w:color="auto" w:fill="auto"/>
              </w:rPr>
            </w:pPr>
            <w:r>
              <w:rPr>
                <w:rFonts w:hint="eastAsia" w:ascii="宋体" w:hAnsi="宋体" w:eastAsia="宋体" w:cs="Times New Roman"/>
                <w:color w:val="auto"/>
                <w:kern w:val="0"/>
                <w:highlight w:val="none"/>
                <w:shd w:val="clear" w:color="auto" w:fill="auto"/>
              </w:rPr>
              <w:t>1</w:t>
            </w:r>
            <w:r>
              <w:rPr>
                <w:rFonts w:ascii="宋体" w:hAnsi="宋体" w:eastAsia="宋体" w:cs="Times New Roman"/>
                <w:color w:val="auto"/>
                <w:kern w:val="0"/>
                <w:highlight w:val="none"/>
                <w:shd w:val="clear" w:color="auto" w:fill="auto"/>
              </w:rPr>
              <w:t>.</w:t>
            </w:r>
            <w:r>
              <w:rPr>
                <w:rFonts w:hint="eastAsia" w:ascii="宋体" w:hAnsi="宋体" w:cs="Times New Roman"/>
                <w:color w:val="auto"/>
                <w:kern w:val="0"/>
                <w:highlight w:val="none"/>
                <w:shd w:val="clear" w:color="auto" w:fill="auto"/>
                <w:lang w:eastAsia="zh-CN"/>
              </w:rPr>
              <w:t>技术</w:t>
            </w:r>
            <w:r>
              <w:rPr>
                <w:rFonts w:hint="eastAsia" w:ascii="宋体" w:hAnsi="宋体" w:eastAsia="宋体" w:cs="Times New Roman"/>
                <w:color w:val="auto"/>
                <w:kern w:val="0"/>
                <w:highlight w:val="none"/>
                <w:shd w:val="clear" w:color="auto" w:fill="auto"/>
              </w:rPr>
              <w:t>方案</w:t>
            </w:r>
            <w:r>
              <w:rPr>
                <w:rFonts w:hint="eastAsia" w:ascii="宋体" w:hAnsi="宋体" w:cs="Times New Roman"/>
                <w:color w:val="auto"/>
                <w:kern w:val="0"/>
                <w:highlight w:val="none"/>
                <w:u w:val="single"/>
                <w:shd w:val="clear" w:color="auto" w:fill="auto"/>
                <w:lang w:val="en-US" w:eastAsia="zh-CN"/>
              </w:rPr>
              <w:t>3</w:t>
            </w:r>
            <w:r>
              <w:rPr>
                <w:rFonts w:hint="eastAsia" w:ascii="宋体" w:hAnsi="宋体" w:eastAsia="宋体" w:cs="Times New Roman"/>
                <w:color w:val="auto"/>
                <w:kern w:val="0"/>
                <w:highlight w:val="none"/>
                <w:u w:val="single"/>
                <w:shd w:val="clear" w:color="auto" w:fill="auto"/>
                <w:lang w:val="en-US" w:eastAsia="zh-CN"/>
              </w:rPr>
              <w:t>0</w:t>
            </w:r>
            <w:r>
              <w:rPr>
                <w:rFonts w:ascii="宋体" w:hAnsi="宋体" w:eastAsia="宋体" w:cs="Times New Roman"/>
                <w:color w:val="auto"/>
                <w:kern w:val="0"/>
                <w:highlight w:val="none"/>
                <w:shd w:val="clear" w:color="auto" w:fill="auto"/>
              </w:rPr>
              <w:t>分</w:t>
            </w:r>
            <w:r>
              <w:rPr>
                <w:rFonts w:hint="eastAsia" w:ascii="宋体" w:hAnsi="宋体" w:eastAsia="宋体" w:cs="Times New Roman"/>
                <w:color w:val="auto"/>
                <w:kern w:val="0"/>
                <w:highlight w:val="none"/>
                <w:shd w:val="clear" w:color="auto" w:fill="auto"/>
              </w:rPr>
              <w:t>；</w:t>
            </w:r>
          </w:p>
          <w:p w14:paraId="4FCA128C">
            <w:pPr>
              <w:snapToGrid w:val="0"/>
              <w:spacing w:line="400" w:lineRule="exact"/>
              <w:ind w:firstLine="420" w:firstLineChars="200"/>
              <w:rPr>
                <w:rFonts w:hint="eastAsia" w:ascii="宋体" w:hAnsi="宋体" w:eastAsia="宋体" w:cs="Times New Roman"/>
                <w:color w:val="auto"/>
                <w:kern w:val="0"/>
                <w:highlight w:val="none"/>
                <w:shd w:val="clear" w:color="auto" w:fill="auto"/>
                <w:lang w:val="en-US" w:eastAsia="zh-CN"/>
              </w:rPr>
            </w:pPr>
            <w:r>
              <w:rPr>
                <w:rFonts w:hint="eastAsia" w:ascii="宋体" w:hAnsi="宋体" w:eastAsia="宋体" w:cs="Times New Roman"/>
                <w:color w:val="auto"/>
                <w:kern w:val="0"/>
                <w:highlight w:val="none"/>
                <w:shd w:val="clear" w:color="auto" w:fill="auto"/>
              </w:rPr>
              <w:t>2.</w:t>
            </w:r>
            <w:r>
              <w:rPr>
                <w:rFonts w:hint="eastAsia" w:ascii="宋体" w:hAnsi="宋体" w:eastAsia="宋体" w:cs="Times New Roman"/>
                <w:color w:val="auto"/>
                <w:kern w:val="0"/>
                <w:highlight w:val="none"/>
                <w:shd w:val="clear" w:color="auto" w:fill="auto"/>
                <w:lang w:val="en-US" w:eastAsia="zh-CN"/>
              </w:rPr>
              <w:t>商务部分</w:t>
            </w:r>
            <w:r>
              <w:rPr>
                <w:rFonts w:hint="eastAsia" w:ascii="宋体" w:hAnsi="宋体" w:cs="Times New Roman"/>
                <w:color w:val="auto"/>
                <w:kern w:val="0"/>
                <w:highlight w:val="none"/>
                <w:u w:val="single"/>
                <w:shd w:val="clear" w:color="auto" w:fill="auto"/>
                <w:lang w:val="en-US" w:eastAsia="zh-CN"/>
              </w:rPr>
              <w:t>2</w:t>
            </w:r>
            <w:r>
              <w:rPr>
                <w:rFonts w:hint="eastAsia" w:ascii="宋体" w:hAnsi="宋体" w:eastAsia="宋体" w:cs="Times New Roman"/>
                <w:color w:val="auto"/>
                <w:kern w:val="0"/>
                <w:highlight w:val="none"/>
                <w:u w:val="single"/>
                <w:shd w:val="clear" w:color="auto" w:fill="auto"/>
                <w:lang w:val="en-US" w:eastAsia="zh-CN"/>
              </w:rPr>
              <w:t>0</w:t>
            </w:r>
            <w:r>
              <w:rPr>
                <w:rFonts w:hint="eastAsia" w:ascii="宋体" w:hAnsi="宋体" w:eastAsia="宋体" w:cs="Times New Roman"/>
                <w:color w:val="auto"/>
                <w:kern w:val="0"/>
                <w:highlight w:val="none"/>
                <w:shd w:val="clear" w:color="auto" w:fill="auto"/>
              </w:rPr>
              <w:t>分</w:t>
            </w:r>
            <w:r>
              <w:rPr>
                <w:rFonts w:hint="eastAsia" w:ascii="宋体" w:hAnsi="宋体" w:eastAsia="宋体" w:cs="Times New Roman"/>
                <w:color w:val="auto"/>
                <w:kern w:val="0"/>
                <w:highlight w:val="none"/>
                <w:shd w:val="clear" w:color="auto" w:fill="auto"/>
                <w:lang w:val="en-US" w:eastAsia="zh-CN"/>
              </w:rPr>
              <w:t>；</w:t>
            </w:r>
          </w:p>
          <w:p w14:paraId="30271165">
            <w:pPr>
              <w:snapToGrid w:val="0"/>
              <w:spacing w:line="400" w:lineRule="exact"/>
              <w:ind w:firstLine="420" w:firstLineChars="200"/>
              <w:rPr>
                <w:rFonts w:ascii="宋体" w:hAnsi="宋体" w:eastAsia="宋体" w:cs="Times New Roman"/>
                <w:i/>
                <w:color w:val="auto"/>
                <w:kern w:val="0"/>
                <w:highlight w:val="none"/>
                <w:shd w:val="clear" w:color="auto" w:fill="auto"/>
              </w:rPr>
            </w:pPr>
            <w:r>
              <w:rPr>
                <w:rFonts w:hint="eastAsia" w:ascii="宋体" w:hAnsi="宋体" w:eastAsia="宋体" w:cs="Times New Roman"/>
                <w:color w:val="auto"/>
                <w:kern w:val="0"/>
                <w:highlight w:val="none"/>
                <w:shd w:val="clear" w:color="auto" w:fill="auto"/>
                <w:lang w:val="en-US" w:eastAsia="zh-CN"/>
              </w:rPr>
              <w:t>3.</w:t>
            </w:r>
            <w:r>
              <w:rPr>
                <w:rFonts w:hint="eastAsia" w:ascii="宋体" w:hAnsi="宋体" w:eastAsia="宋体" w:cs="Times New Roman"/>
                <w:color w:val="auto"/>
                <w:kern w:val="0"/>
                <w:highlight w:val="none"/>
                <w:shd w:val="clear" w:color="auto" w:fill="auto"/>
              </w:rPr>
              <w:t>投标总报价</w:t>
            </w:r>
            <w:r>
              <w:rPr>
                <w:rFonts w:hint="eastAsia" w:ascii="宋体" w:hAnsi="宋体" w:cs="Times New Roman"/>
                <w:color w:val="auto"/>
                <w:kern w:val="0"/>
                <w:highlight w:val="none"/>
                <w:u w:val="single"/>
                <w:shd w:val="clear" w:color="auto" w:fill="auto"/>
                <w:lang w:val="en-US" w:eastAsia="zh-CN"/>
              </w:rPr>
              <w:t>5</w:t>
            </w:r>
            <w:r>
              <w:rPr>
                <w:rFonts w:hint="eastAsia" w:ascii="宋体" w:hAnsi="宋体" w:eastAsia="宋体" w:cs="Times New Roman"/>
                <w:color w:val="auto"/>
                <w:kern w:val="0"/>
                <w:highlight w:val="none"/>
                <w:u w:val="single"/>
                <w:shd w:val="clear" w:color="auto" w:fill="auto"/>
                <w:lang w:val="en-US" w:eastAsia="zh-CN"/>
              </w:rPr>
              <w:t>0</w:t>
            </w:r>
            <w:r>
              <w:rPr>
                <w:rFonts w:hint="eastAsia" w:ascii="宋体" w:hAnsi="宋体" w:eastAsia="宋体" w:cs="Times New Roman"/>
                <w:color w:val="auto"/>
                <w:kern w:val="0"/>
                <w:highlight w:val="none"/>
                <w:shd w:val="clear" w:color="auto" w:fill="auto"/>
              </w:rPr>
              <w:t>分.</w:t>
            </w:r>
          </w:p>
        </w:tc>
      </w:tr>
      <w:tr w14:paraId="7B3FDD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18" w:type="dxa"/>
            <w:gridSpan w:val="2"/>
            <w:noWrap w:val="0"/>
            <w:vAlign w:val="center"/>
          </w:tcPr>
          <w:p w14:paraId="0220B45D">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2.2.2</w:t>
            </w:r>
          </w:p>
        </w:tc>
        <w:tc>
          <w:tcPr>
            <w:tcW w:w="1546" w:type="dxa"/>
            <w:gridSpan w:val="2"/>
            <w:noWrap w:val="0"/>
            <w:vAlign w:val="center"/>
          </w:tcPr>
          <w:p w14:paraId="28946B96">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评标基准价计算方法</w:t>
            </w:r>
          </w:p>
        </w:tc>
        <w:tc>
          <w:tcPr>
            <w:tcW w:w="1012" w:type="dxa"/>
            <w:noWrap w:val="0"/>
            <w:vAlign w:val="center"/>
          </w:tcPr>
          <w:p w14:paraId="77511B82">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w:t>
            </w:r>
          </w:p>
        </w:tc>
        <w:tc>
          <w:tcPr>
            <w:tcW w:w="5493" w:type="dxa"/>
            <w:noWrap w:val="0"/>
            <w:vAlign w:val="top"/>
          </w:tcPr>
          <w:p w14:paraId="2901BC0A">
            <w:pPr>
              <w:snapToGrid w:val="0"/>
              <w:spacing w:line="400" w:lineRule="exact"/>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所有通过初步评审评审合格的投标人的投标总报价中去掉六分之一（不能整除的按小数点前整数取整，不足六家报价则不去掉）的最低价和相同家数的最高价后的算术平均值与本项目最高限价再取平均值，即为本项目投标总报价的评标基准价。</w:t>
            </w:r>
          </w:p>
          <w:p w14:paraId="701E894E">
            <w:pPr>
              <w:snapToGrid w:val="0"/>
              <w:spacing w:line="400" w:lineRule="exact"/>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评标基准价计算的最终</w:t>
            </w:r>
            <w:r>
              <w:rPr>
                <w:rFonts w:ascii="宋体" w:hAnsi="宋体" w:eastAsia="宋体" w:cs="Times New Roman"/>
                <w:color w:val="auto"/>
                <w:kern w:val="0"/>
                <w:szCs w:val="21"/>
                <w:highlight w:val="none"/>
              </w:rPr>
              <w:t>结果取小数点后两位，第三位四舍五入。</w:t>
            </w:r>
          </w:p>
        </w:tc>
      </w:tr>
      <w:tr w14:paraId="52263C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Merge w:val="restart"/>
            <w:noWrap w:val="0"/>
            <w:vAlign w:val="center"/>
          </w:tcPr>
          <w:p w14:paraId="2FEBEF19">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 xml:space="preserve">2.2.3 </w:t>
            </w:r>
          </w:p>
        </w:tc>
        <w:tc>
          <w:tcPr>
            <w:tcW w:w="2558" w:type="dxa"/>
            <w:gridSpan w:val="3"/>
            <w:vMerge w:val="restart"/>
            <w:noWrap w:val="0"/>
            <w:vAlign w:val="center"/>
          </w:tcPr>
          <w:p w14:paraId="3F7C1F98">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rPr>
              <w:t>允许偏差率</w:t>
            </w:r>
          </w:p>
        </w:tc>
        <w:tc>
          <w:tcPr>
            <w:tcW w:w="5493" w:type="dxa"/>
            <w:noWrap w:val="0"/>
            <w:vAlign w:val="center"/>
          </w:tcPr>
          <w:p w14:paraId="4AE053FD">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投标总报价的偏差率计算公式</w:t>
            </w:r>
          </w:p>
          <w:p w14:paraId="4C85E92A">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偏差率</w:t>
            </w:r>
            <w:r>
              <w:rPr>
                <w:rFonts w:ascii="宋体" w:hAnsi="宋体" w:eastAsia="宋体" w:cs="Times New Roman"/>
                <w:color w:val="auto"/>
                <w:kern w:val="0"/>
                <w:sz w:val="28"/>
                <w:szCs w:val="28"/>
                <w:highlight w:val="none"/>
              </w:rPr>
              <w:t>=</w:t>
            </w:r>
            <w:r>
              <w:rPr>
                <w:rFonts w:ascii="宋体" w:hAnsi="宋体" w:eastAsia="宋体" w:cs="Times New Roman"/>
                <w:color w:val="auto"/>
                <w:kern w:val="0"/>
                <w:highlight w:val="none"/>
              </w:rPr>
              <w:t>100％×（</w:t>
            </w:r>
            <w:r>
              <w:rPr>
                <w:rFonts w:hint="eastAsia" w:ascii="宋体" w:hAnsi="宋体" w:eastAsia="宋体" w:cs="Times New Roman"/>
                <w:color w:val="auto"/>
                <w:kern w:val="0"/>
                <w:highlight w:val="none"/>
                <w:lang w:eastAsia="zh-CN"/>
              </w:rPr>
              <w:t>竞标人</w:t>
            </w:r>
            <w:r>
              <w:rPr>
                <w:rFonts w:ascii="宋体" w:hAnsi="宋体" w:eastAsia="宋体" w:cs="Times New Roman"/>
                <w:color w:val="auto"/>
                <w:kern w:val="0"/>
                <w:highlight w:val="none"/>
              </w:rPr>
              <w:t>报价一评标基准价</w:t>
            </w:r>
            <w:r>
              <w:rPr>
                <w:rFonts w:hint="eastAsia" w:ascii="宋体" w:hAnsi="宋体" w:eastAsia="宋体" w:cs="Times New Roman"/>
                <w:color w:val="auto"/>
                <w:kern w:val="0"/>
                <w:highlight w:val="none"/>
                <w:lang w:eastAsia="zh-CN"/>
              </w:rPr>
              <w:t>）</w:t>
            </w:r>
            <w:r>
              <w:rPr>
                <w:rFonts w:ascii="宋体" w:hAnsi="宋体" w:eastAsia="宋体" w:cs="Times New Roman"/>
                <w:color w:val="auto"/>
                <w:kern w:val="0"/>
                <w:highlight w:val="none"/>
              </w:rPr>
              <w:t>／评标基准价</w:t>
            </w:r>
          </w:p>
          <w:p w14:paraId="03D5858C">
            <w:pPr>
              <w:spacing w:line="400" w:lineRule="exact"/>
              <w:ind w:firstLine="200"/>
              <w:rPr>
                <w:rFonts w:ascii="宋体" w:hAnsi="宋体" w:eastAsia="宋体" w:cs="Times New Roman"/>
                <w:color w:val="auto"/>
                <w:kern w:val="0"/>
                <w:highlight w:val="none"/>
              </w:rPr>
            </w:pPr>
            <w:r>
              <w:rPr>
                <w:rFonts w:ascii="宋体" w:hAnsi="宋体" w:eastAsia="宋体" w:cs="Times New Roman"/>
                <w:color w:val="auto"/>
                <w:kern w:val="0"/>
                <w:highlight w:val="none"/>
              </w:rPr>
              <w:t xml:space="preserve">    偏差率</w:t>
            </w:r>
            <w:r>
              <w:rPr>
                <w:rFonts w:ascii="宋体" w:hAnsi="宋体" w:eastAsia="宋体" w:cs="Times New Roman"/>
                <w:color w:val="auto"/>
                <w:kern w:val="0"/>
                <w:szCs w:val="21"/>
                <w:highlight w:val="none"/>
              </w:rPr>
              <w:t>计算保留小数点后两位，小数点后第三位“四舍五入”。</w:t>
            </w:r>
          </w:p>
        </w:tc>
      </w:tr>
      <w:tr w14:paraId="1DD875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Merge w:val="continue"/>
            <w:noWrap w:val="0"/>
            <w:vAlign w:val="center"/>
          </w:tcPr>
          <w:p w14:paraId="7052C0AA">
            <w:pPr>
              <w:spacing w:line="400" w:lineRule="exact"/>
              <w:jc w:val="center"/>
              <w:rPr>
                <w:rFonts w:ascii="宋体" w:hAnsi="宋体" w:eastAsia="宋体" w:cs="Times New Roman"/>
                <w:color w:val="auto"/>
                <w:kern w:val="0"/>
                <w:highlight w:val="none"/>
              </w:rPr>
            </w:pPr>
          </w:p>
        </w:tc>
        <w:tc>
          <w:tcPr>
            <w:tcW w:w="2558" w:type="dxa"/>
            <w:gridSpan w:val="3"/>
            <w:vMerge w:val="continue"/>
            <w:noWrap w:val="0"/>
            <w:vAlign w:val="center"/>
          </w:tcPr>
          <w:p w14:paraId="73908E3C">
            <w:pPr>
              <w:spacing w:line="400" w:lineRule="exact"/>
              <w:jc w:val="center"/>
              <w:rPr>
                <w:rFonts w:ascii="宋体" w:hAnsi="宋体" w:eastAsia="宋体" w:cs="Times New Roman"/>
                <w:color w:val="auto"/>
                <w:kern w:val="0"/>
                <w:highlight w:val="none"/>
              </w:rPr>
            </w:pPr>
          </w:p>
        </w:tc>
        <w:tc>
          <w:tcPr>
            <w:tcW w:w="5493" w:type="dxa"/>
            <w:noWrap w:val="0"/>
            <w:vAlign w:val="center"/>
          </w:tcPr>
          <w:p w14:paraId="717A908A">
            <w:pPr>
              <w:snapToGrid w:val="0"/>
              <w:spacing w:line="400" w:lineRule="exact"/>
              <w:ind w:firstLine="420" w:firstLineChars="200"/>
              <w:jc w:val="left"/>
              <w:rPr>
                <w:rFonts w:ascii="宋体" w:hAnsi="宋体" w:eastAsia="宋体" w:cs="Times New Roman"/>
                <w:i/>
                <w:color w:val="auto"/>
                <w:kern w:val="0"/>
                <w:highlight w:val="none"/>
              </w:rPr>
            </w:pPr>
            <w:r>
              <w:rPr>
                <w:rFonts w:hint="eastAsia" w:ascii="宋体" w:hAnsi="宋体" w:eastAsia="宋体" w:cs="Times New Roman"/>
                <w:color w:val="auto"/>
                <w:kern w:val="0"/>
                <w:highlight w:val="none"/>
                <w:lang w:eastAsia="zh-CN"/>
              </w:rPr>
              <w:t>☑</w:t>
            </w:r>
            <w:r>
              <w:rPr>
                <w:rFonts w:hint="eastAsia" w:ascii="宋体" w:hAnsi="宋体" w:eastAsia="宋体" w:cs="Times New Roman"/>
                <w:color w:val="auto"/>
                <w:kern w:val="0"/>
                <w:highlight w:val="none"/>
              </w:rPr>
              <w:t>不设偏差范围。</w:t>
            </w:r>
          </w:p>
        </w:tc>
      </w:tr>
      <w:tr w14:paraId="0967A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restart"/>
            <w:noWrap w:val="0"/>
            <w:vAlign w:val="center"/>
          </w:tcPr>
          <w:p w14:paraId="32305E8C">
            <w:pPr>
              <w:snapToGrid w:val="0"/>
              <w:spacing w:line="400" w:lineRule="exac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2.2.4</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lang w:eastAsia="zh-CN"/>
              </w:rPr>
              <w:t>）</w:t>
            </w:r>
            <w:r>
              <w:rPr>
                <w:rFonts w:ascii="宋体" w:hAnsi="宋体" w:eastAsia="宋体" w:cs="Times New Roman"/>
                <w:color w:val="auto"/>
                <w:kern w:val="0"/>
                <w:szCs w:val="21"/>
                <w:highlight w:val="none"/>
              </w:rPr>
              <w:t xml:space="preserve"> </w:t>
            </w:r>
          </w:p>
        </w:tc>
        <w:tc>
          <w:tcPr>
            <w:tcW w:w="666" w:type="dxa"/>
            <w:vMerge w:val="restart"/>
            <w:noWrap w:val="0"/>
            <w:vAlign w:val="center"/>
          </w:tcPr>
          <w:p w14:paraId="670B4FDA">
            <w:pPr>
              <w:snapToGrid w:val="0"/>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rPr>
              <w:t>技术方案</w:t>
            </w:r>
            <w:r>
              <w:rPr>
                <w:rFonts w:ascii="宋体" w:hAnsi="宋体" w:eastAsia="宋体" w:cs="Times New Roman"/>
                <w:color w:val="auto"/>
                <w:kern w:val="0"/>
                <w:highlight w:val="none"/>
              </w:rPr>
              <w:t>评分标准</w:t>
            </w:r>
          </w:p>
        </w:tc>
        <w:tc>
          <w:tcPr>
            <w:tcW w:w="2558" w:type="dxa"/>
            <w:gridSpan w:val="3"/>
            <w:shd w:val="clear" w:color="auto" w:fill="auto"/>
            <w:noWrap w:val="0"/>
            <w:vAlign w:val="center"/>
          </w:tcPr>
          <w:p w14:paraId="2FD31856">
            <w:pPr>
              <w:spacing w:before="1" w:line="216" w:lineRule="auto"/>
              <w:jc w:val="center"/>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项目管理</w:t>
            </w:r>
          </w:p>
          <w:p w14:paraId="49E13B62">
            <w:pPr>
              <w:spacing w:before="1" w:line="216" w:lineRule="auto"/>
              <w:jc w:val="center"/>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w:t>
            </w:r>
            <w:r>
              <w:rPr>
                <w:rFonts w:hint="eastAsia" w:ascii="宋体" w:hAnsi="宋体" w:cs="Times New Roman"/>
                <w:color w:val="auto"/>
                <w:kern w:val="0"/>
                <w:highlight w:val="none"/>
                <w:lang w:val="en-US" w:eastAsia="zh-CN"/>
              </w:rPr>
              <w:t>8</w:t>
            </w:r>
            <w:r>
              <w:rPr>
                <w:rFonts w:hint="eastAsia" w:ascii="宋体" w:hAnsi="宋体" w:eastAsia="宋体" w:cs="Times New Roman"/>
                <w:color w:val="auto"/>
                <w:kern w:val="0"/>
                <w:highlight w:val="none"/>
                <w:lang w:val="en-US" w:eastAsia="zh-CN"/>
              </w:rPr>
              <w:t>分）</w:t>
            </w:r>
          </w:p>
        </w:tc>
        <w:tc>
          <w:tcPr>
            <w:tcW w:w="5493" w:type="dxa"/>
            <w:shd w:val="clear" w:color="auto" w:fill="auto"/>
            <w:noWrap w:val="0"/>
            <w:vAlign w:val="center"/>
          </w:tcPr>
          <w:p w14:paraId="2EB61518">
            <w:pPr>
              <w:spacing w:before="1" w:line="216" w:lineRule="auto"/>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对本项目和要求制定一套完整专业的项目管理方案，主要内容包括但不限于项目管理形式、管理人员资历、组成等情况。</w:t>
            </w:r>
          </w:p>
          <w:p w14:paraId="15676C4A">
            <w:pPr>
              <w:spacing w:before="1" w:line="216" w:lineRule="auto"/>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1.方案层次非常清楚，针对性很强，非常具有行业参考性、指导性、操作性、专业性，得</w:t>
            </w:r>
            <w:r>
              <w:rPr>
                <w:rFonts w:hint="eastAsia" w:ascii="宋体" w:hAnsi="宋体" w:cs="Times New Roman"/>
                <w:color w:val="auto"/>
                <w:kern w:val="0"/>
                <w:highlight w:val="none"/>
                <w:lang w:val="en-US" w:eastAsia="zh-CN"/>
              </w:rPr>
              <w:t>7.2-8</w:t>
            </w:r>
            <w:r>
              <w:rPr>
                <w:rFonts w:hint="eastAsia" w:ascii="宋体" w:hAnsi="宋体" w:eastAsia="宋体" w:cs="Times New Roman"/>
                <w:color w:val="auto"/>
                <w:kern w:val="0"/>
                <w:highlight w:val="none"/>
                <w:lang w:val="en-US" w:eastAsia="zh-CN"/>
              </w:rPr>
              <w:t>分；</w:t>
            </w:r>
          </w:p>
          <w:p w14:paraId="3B10CCA2">
            <w:pPr>
              <w:spacing w:before="1" w:line="216" w:lineRule="auto"/>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2.方案层次较为清楚，针对性较强，具有较强行业参考性、指导性、操作性、专业性得</w:t>
            </w:r>
            <w:r>
              <w:rPr>
                <w:rFonts w:hint="eastAsia" w:ascii="宋体" w:hAnsi="宋体" w:cs="Times New Roman"/>
                <w:color w:val="auto"/>
                <w:kern w:val="0"/>
                <w:highlight w:val="none"/>
                <w:lang w:val="en-US" w:eastAsia="zh-CN"/>
              </w:rPr>
              <w:t>6.4-7.2</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w:t>
            </w:r>
          </w:p>
          <w:p w14:paraId="616C9DD2">
            <w:pPr>
              <w:spacing w:before="1" w:line="216" w:lineRule="auto"/>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3.方案层次相对清楚，具有一定针对性、操作性、创新性、专业性，得</w:t>
            </w:r>
            <w:r>
              <w:rPr>
                <w:rFonts w:hint="eastAsia" w:ascii="宋体" w:hAnsi="宋体" w:cs="Times New Roman"/>
                <w:color w:val="auto"/>
                <w:kern w:val="0"/>
                <w:highlight w:val="none"/>
                <w:lang w:val="en-US" w:eastAsia="zh-CN"/>
              </w:rPr>
              <w:t>4.8-6.4</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w:t>
            </w:r>
          </w:p>
          <w:p w14:paraId="56B758EC">
            <w:pPr>
              <w:spacing w:before="1" w:line="216" w:lineRule="auto"/>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4.方案层次不清楚，缺乏针对性、操作性差、缺乏创新和创新性，得</w:t>
            </w:r>
            <w:r>
              <w:rPr>
                <w:rFonts w:hint="eastAsia" w:ascii="宋体" w:hAnsi="宋体" w:cs="Times New Roman"/>
                <w:color w:val="auto"/>
                <w:kern w:val="0"/>
                <w:highlight w:val="none"/>
                <w:lang w:val="en-US" w:eastAsia="zh-CN"/>
              </w:rPr>
              <w:t>0-4.8</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w:t>
            </w:r>
          </w:p>
          <w:p w14:paraId="4C05AE88">
            <w:pPr>
              <w:spacing w:before="1" w:line="216" w:lineRule="auto"/>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 xml:space="preserve">    5.未提供项目方案的不得分。</w:t>
            </w:r>
          </w:p>
        </w:tc>
      </w:tr>
      <w:tr w14:paraId="2706B4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10E9984E">
            <w:pPr>
              <w:snapToGrid w:val="0"/>
              <w:spacing w:line="400" w:lineRule="exact"/>
              <w:rPr>
                <w:rFonts w:ascii="宋体" w:hAnsi="宋体" w:eastAsia="宋体" w:cs="Times New Roman"/>
                <w:color w:val="auto"/>
                <w:highlight w:val="none"/>
              </w:rPr>
            </w:pPr>
          </w:p>
        </w:tc>
        <w:tc>
          <w:tcPr>
            <w:tcW w:w="666" w:type="dxa"/>
            <w:vMerge w:val="continue"/>
            <w:noWrap w:val="0"/>
            <w:vAlign w:val="top"/>
          </w:tcPr>
          <w:p w14:paraId="44284A2F">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74063482">
            <w:pPr>
              <w:spacing w:before="1" w:line="216" w:lineRule="auto"/>
              <w:jc w:val="center"/>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日常管理制度</w:t>
            </w:r>
          </w:p>
          <w:p w14:paraId="4AC86F8B">
            <w:pPr>
              <w:spacing w:before="1" w:line="216" w:lineRule="auto"/>
              <w:jc w:val="center"/>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（6分）</w:t>
            </w:r>
          </w:p>
        </w:tc>
        <w:tc>
          <w:tcPr>
            <w:tcW w:w="5493" w:type="dxa"/>
            <w:shd w:val="clear" w:color="auto" w:fill="auto"/>
            <w:noWrap w:val="0"/>
            <w:vAlign w:val="center"/>
          </w:tcPr>
          <w:p w14:paraId="1B86F2BA">
            <w:pPr>
              <w:spacing w:before="1" w:line="216" w:lineRule="auto"/>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针对本项目和要求制定的派遣人员日常管理办法、规章制度、管理目标、考核办法等情况。</w:t>
            </w:r>
          </w:p>
          <w:p w14:paraId="699C2354">
            <w:pPr>
              <w:spacing w:before="1" w:line="216" w:lineRule="auto"/>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1、各种制度层次非常清楚，针对性很强，非常具有行业参考性、指导性、操作性、专业性，得</w:t>
            </w:r>
            <w:r>
              <w:rPr>
                <w:rFonts w:hint="eastAsia" w:ascii="宋体" w:hAnsi="宋体" w:cs="Times New Roman"/>
                <w:color w:val="auto"/>
                <w:kern w:val="0"/>
                <w:highlight w:val="none"/>
                <w:lang w:val="en-US" w:eastAsia="zh-CN"/>
              </w:rPr>
              <w:t>5.4-6</w:t>
            </w:r>
            <w:r>
              <w:rPr>
                <w:rFonts w:hint="eastAsia" w:ascii="宋体" w:hAnsi="宋体" w:eastAsia="宋体" w:cs="Times New Roman"/>
                <w:color w:val="auto"/>
                <w:kern w:val="0"/>
                <w:highlight w:val="none"/>
                <w:lang w:val="en-US" w:eastAsia="zh-CN"/>
              </w:rPr>
              <w:t>分；</w:t>
            </w:r>
          </w:p>
          <w:p w14:paraId="02E4015D">
            <w:pPr>
              <w:spacing w:before="1" w:line="216" w:lineRule="auto"/>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2、各种制度层次较为清楚，针对性较强，具有较强行业参考性、指导性、操作性、专业性得</w:t>
            </w:r>
            <w:r>
              <w:rPr>
                <w:rFonts w:hint="eastAsia" w:ascii="宋体" w:hAnsi="宋体" w:cs="Times New Roman"/>
                <w:color w:val="auto"/>
                <w:kern w:val="0"/>
                <w:highlight w:val="none"/>
                <w:lang w:val="en-US" w:eastAsia="zh-CN"/>
              </w:rPr>
              <w:t>4.8-5.4</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w:t>
            </w:r>
          </w:p>
          <w:p w14:paraId="763F3095">
            <w:pPr>
              <w:spacing w:before="1" w:line="216" w:lineRule="auto"/>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3、各种制度层次相对清楚，具有一定针对性、操作性、创新性、专业性，得</w:t>
            </w:r>
            <w:r>
              <w:rPr>
                <w:rFonts w:hint="eastAsia" w:ascii="宋体" w:hAnsi="宋体" w:cs="Times New Roman"/>
                <w:color w:val="auto"/>
                <w:kern w:val="0"/>
                <w:highlight w:val="none"/>
                <w:lang w:val="en-US" w:eastAsia="zh-CN"/>
              </w:rPr>
              <w:t>3.6-4.8</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w:t>
            </w:r>
          </w:p>
          <w:p w14:paraId="5837D75C">
            <w:pPr>
              <w:spacing w:before="1" w:line="216" w:lineRule="auto"/>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4、各种制度层次不清楚，缺乏针对性、操作性差、缺乏创新和创新性，得</w:t>
            </w:r>
            <w:r>
              <w:rPr>
                <w:rFonts w:hint="eastAsia" w:ascii="宋体" w:hAnsi="宋体" w:cs="Times New Roman"/>
                <w:color w:val="auto"/>
                <w:kern w:val="0"/>
                <w:highlight w:val="none"/>
                <w:lang w:val="en-US" w:eastAsia="zh-CN"/>
              </w:rPr>
              <w:t>0-3.6</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w:t>
            </w:r>
          </w:p>
          <w:p w14:paraId="57726327">
            <w:pPr>
              <w:spacing w:before="1" w:line="216" w:lineRule="auto"/>
              <w:ind w:firstLine="420" w:firstLineChars="200"/>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5、未提供项目方案的不得分。</w:t>
            </w:r>
          </w:p>
        </w:tc>
      </w:tr>
      <w:tr w14:paraId="58EAF4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136FD310">
            <w:pPr>
              <w:snapToGrid w:val="0"/>
              <w:spacing w:line="400" w:lineRule="exact"/>
              <w:rPr>
                <w:rFonts w:ascii="宋体" w:hAnsi="宋体" w:eastAsia="宋体" w:cs="Times New Roman"/>
                <w:color w:val="auto"/>
                <w:highlight w:val="none"/>
              </w:rPr>
            </w:pPr>
          </w:p>
        </w:tc>
        <w:tc>
          <w:tcPr>
            <w:tcW w:w="666" w:type="dxa"/>
            <w:vMerge w:val="continue"/>
            <w:noWrap w:val="0"/>
            <w:vAlign w:val="top"/>
          </w:tcPr>
          <w:p w14:paraId="34F799CC">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6D3E01CD">
            <w:pPr>
              <w:spacing w:before="69" w:line="220" w:lineRule="auto"/>
              <w:jc w:val="center"/>
              <w:rPr>
                <w:rFonts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lang w:val="en-US" w:eastAsia="zh-CN"/>
              </w:rPr>
              <w:t>岗前培训（</w:t>
            </w:r>
            <w:r>
              <w:rPr>
                <w:rFonts w:hint="eastAsia" w:ascii="宋体" w:hAnsi="宋体" w:cs="宋体"/>
                <w:color w:val="auto"/>
                <w:spacing w:val="5"/>
                <w:sz w:val="21"/>
                <w:szCs w:val="21"/>
                <w:highlight w:val="none"/>
                <w:lang w:val="en-US" w:eastAsia="zh-CN"/>
              </w:rPr>
              <w:t>5</w:t>
            </w:r>
            <w:r>
              <w:rPr>
                <w:rFonts w:hint="eastAsia" w:ascii="宋体" w:hAnsi="宋体" w:eastAsia="宋体" w:cs="宋体"/>
                <w:color w:val="auto"/>
                <w:spacing w:val="5"/>
                <w:sz w:val="21"/>
                <w:szCs w:val="21"/>
                <w:highlight w:val="none"/>
                <w:lang w:val="en-US" w:eastAsia="zh-CN"/>
              </w:rPr>
              <w:t>）</w:t>
            </w:r>
          </w:p>
          <w:p w14:paraId="679BF7FD">
            <w:pPr>
              <w:spacing w:line="255" w:lineRule="auto"/>
              <w:jc w:val="center"/>
              <w:rPr>
                <w:rFonts w:ascii="Arial"/>
                <w:color w:val="auto"/>
                <w:sz w:val="21"/>
                <w:highlight w:val="none"/>
              </w:rPr>
            </w:pPr>
          </w:p>
          <w:p w14:paraId="4514038E">
            <w:pPr>
              <w:spacing w:line="255" w:lineRule="auto"/>
              <w:jc w:val="center"/>
              <w:rPr>
                <w:rFonts w:ascii="Arial"/>
                <w:color w:val="auto"/>
                <w:sz w:val="21"/>
                <w:highlight w:val="none"/>
              </w:rPr>
            </w:pPr>
          </w:p>
          <w:p w14:paraId="1EE12D45">
            <w:pPr>
              <w:spacing w:before="188" w:line="221" w:lineRule="auto"/>
              <w:ind w:left="812" w:leftChars="0"/>
              <w:jc w:val="center"/>
              <w:rPr>
                <w:rFonts w:hint="eastAsia" w:ascii="宋体" w:hAnsi="宋体" w:eastAsia="宋体" w:cs="Times New Roman"/>
                <w:color w:val="auto"/>
                <w:kern w:val="0"/>
                <w:highlight w:val="none"/>
                <w:lang w:val="en-US" w:eastAsia="zh-CN"/>
              </w:rPr>
            </w:pPr>
          </w:p>
        </w:tc>
        <w:tc>
          <w:tcPr>
            <w:tcW w:w="5493" w:type="dxa"/>
            <w:shd w:val="clear" w:color="auto" w:fill="auto"/>
            <w:noWrap w:val="0"/>
            <w:vAlign w:val="top"/>
          </w:tcPr>
          <w:p w14:paraId="3FC5BE8B">
            <w:pPr>
              <w:spacing w:before="1" w:line="216" w:lineRule="auto"/>
              <w:ind w:left="117" w:leftChars="0" w:firstLine="416" w:firstLineChars="200"/>
              <w:rPr>
                <w:rFonts w:hint="eastAsia" w:ascii="宋体" w:hAnsi="宋体" w:eastAsia="宋体" w:cs="Times New Roman"/>
                <w:color w:val="auto"/>
                <w:kern w:val="0"/>
                <w:highlight w:val="none"/>
                <w:lang w:val="en-US" w:eastAsia="zh-CN"/>
              </w:rPr>
            </w:pPr>
            <w:r>
              <w:rPr>
                <w:rFonts w:hint="eastAsia" w:ascii="宋体" w:hAnsi="宋体" w:eastAsia="宋体" w:cs="宋体"/>
                <w:color w:val="auto"/>
                <w:spacing w:val="-1"/>
                <w:sz w:val="21"/>
                <w:szCs w:val="21"/>
                <w:highlight w:val="none"/>
              </w:rPr>
              <w:t>竞选人</w:t>
            </w:r>
            <w:r>
              <w:rPr>
                <w:rFonts w:hint="eastAsia" w:ascii="宋体" w:hAnsi="宋体" w:eastAsia="宋体" w:cs="Times New Roman"/>
                <w:color w:val="auto"/>
                <w:kern w:val="0"/>
                <w:highlight w:val="none"/>
                <w:lang w:val="en-US" w:eastAsia="zh-CN"/>
              </w:rPr>
              <w:t>配合用工单位的岗前培训，对新招录人员开展履职相关培训的方案</w:t>
            </w:r>
          </w:p>
          <w:p w14:paraId="3873D889">
            <w:pPr>
              <w:numPr>
                <w:ilvl w:val="0"/>
                <w:numId w:val="2"/>
              </w:numPr>
              <w:spacing w:before="1" w:line="216" w:lineRule="auto"/>
              <w:ind w:left="117" w:leftChars="0"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内容阐述详尽完整、措施完善、条理清晰、覆盖全面，得</w:t>
            </w:r>
            <w:r>
              <w:rPr>
                <w:rFonts w:hint="eastAsia" w:ascii="宋体" w:hAnsi="宋体" w:cs="Times New Roman"/>
                <w:color w:val="auto"/>
                <w:kern w:val="0"/>
                <w:highlight w:val="none"/>
                <w:lang w:val="en-US" w:eastAsia="zh-CN"/>
              </w:rPr>
              <w:t>4.5-5</w:t>
            </w:r>
            <w:r>
              <w:rPr>
                <w:rFonts w:hint="eastAsia" w:ascii="宋体" w:hAnsi="宋体" w:eastAsia="宋体" w:cs="Times New Roman"/>
                <w:color w:val="auto"/>
                <w:kern w:val="0"/>
                <w:highlight w:val="none"/>
                <w:lang w:val="en-US" w:eastAsia="zh-CN"/>
              </w:rPr>
              <w:t>分；</w:t>
            </w:r>
            <w:r>
              <w:rPr>
                <w:rFonts w:hint="eastAsia" w:ascii="宋体" w:hAnsi="宋体" w:eastAsia="宋体" w:cs="Times New Roman"/>
                <w:color w:val="auto"/>
                <w:kern w:val="0"/>
                <w:highlight w:val="none"/>
                <w:lang w:val="en-US" w:eastAsia="zh-CN"/>
              </w:rPr>
              <w:br w:type="textWrapping"/>
            </w:r>
            <w:r>
              <w:rPr>
                <w:rFonts w:hint="eastAsia" w:ascii="宋体" w:hAnsi="宋体" w:cs="Times New Roman"/>
                <w:color w:val="auto"/>
                <w:kern w:val="0"/>
                <w:highlight w:val="none"/>
                <w:lang w:val="en-US" w:eastAsia="zh-CN"/>
              </w:rPr>
              <w:t xml:space="preserve">    </w:t>
            </w:r>
            <w:r>
              <w:rPr>
                <w:rFonts w:hint="eastAsia" w:ascii="宋体" w:hAnsi="宋体" w:eastAsia="宋体" w:cs="Times New Roman"/>
                <w:color w:val="auto"/>
                <w:kern w:val="0"/>
                <w:highlight w:val="none"/>
                <w:lang w:val="en-US" w:eastAsia="zh-CN"/>
              </w:rPr>
              <w:t>2</w:t>
            </w:r>
            <w:r>
              <w:rPr>
                <w:rFonts w:hint="eastAsia" w:ascii="宋体" w:hAnsi="宋体" w:cs="Times New Roman"/>
                <w:color w:val="auto"/>
                <w:kern w:val="0"/>
                <w:highlight w:val="none"/>
                <w:lang w:val="en-US" w:eastAsia="zh-CN"/>
              </w:rPr>
              <w:t>.</w:t>
            </w:r>
            <w:r>
              <w:rPr>
                <w:rFonts w:hint="eastAsia" w:ascii="宋体" w:hAnsi="宋体" w:eastAsia="宋体" w:cs="Times New Roman"/>
                <w:color w:val="auto"/>
                <w:kern w:val="0"/>
                <w:highlight w:val="none"/>
                <w:lang w:val="en-US" w:eastAsia="zh-CN"/>
              </w:rPr>
              <w:t>覆盖上述内容，但阐述较详尽，措施较完善，条理较清晰，得</w:t>
            </w:r>
            <w:r>
              <w:rPr>
                <w:rFonts w:hint="eastAsia" w:ascii="宋体" w:hAnsi="宋体" w:cs="Times New Roman"/>
                <w:color w:val="auto"/>
                <w:kern w:val="0"/>
                <w:highlight w:val="none"/>
                <w:lang w:val="en-US" w:eastAsia="zh-CN"/>
              </w:rPr>
              <w:t>4-4.5</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w:t>
            </w:r>
          </w:p>
          <w:p w14:paraId="7C9A982A">
            <w:pPr>
              <w:numPr>
                <w:ilvl w:val="0"/>
                <w:numId w:val="0"/>
              </w:numPr>
              <w:spacing w:before="1" w:line="216" w:lineRule="auto"/>
              <w:ind w:firstLine="420" w:firstLineChars="200"/>
              <w:rPr>
                <w:rFonts w:hint="eastAsia" w:ascii="宋体" w:hAnsi="宋体" w:cs="Times New Roman"/>
                <w:color w:val="auto"/>
                <w:kern w:val="0"/>
                <w:highlight w:val="none"/>
                <w:lang w:val="en-US" w:eastAsia="zh-CN"/>
              </w:rPr>
            </w:pPr>
            <w:r>
              <w:rPr>
                <w:rFonts w:hint="eastAsia" w:ascii="宋体" w:hAnsi="宋体" w:cs="Times New Roman"/>
                <w:color w:val="auto"/>
                <w:kern w:val="0"/>
                <w:highlight w:val="none"/>
                <w:lang w:val="en-US" w:eastAsia="zh-CN"/>
              </w:rPr>
              <w:t>3.覆盖上述内容，但阐述简单，措施不够完善，条理不够清晰，得3-4分（不含）；</w:t>
            </w:r>
          </w:p>
          <w:p w14:paraId="3DB89B75">
            <w:pPr>
              <w:numPr>
                <w:ilvl w:val="0"/>
                <w:numId w:val="0"/>
              </w:numPr>
              <w:spacing w:before="1" w:line="216" w:lineRule="auto"/>
              <w:ind w:leftChars="200"/>
              <w:rPr>
                <w:rFonts w:hint="eastAsia" w:ascii="宋体" w:hAnsi="宋体" w:eastAsia="宋体" w:cs="Times New Roman"/>
                <w:color w:val="auto"/>
                <w:kern w:val="0"/>
                <w:highlight w:val="none"/>
                <w:lang w:val="en-US" w:eastAsia="zh-CN"/>
              </w:rPr>
            </w:pPr>
            <w:r>
              <w:rPr>
                <w:rFonts w:hint="eastAsia" w:ascii="宋体" w:hAnsi="宋体" w:cs="Times New Roman"/>
                <w:color w:val="auto"/>
                <w:kern w:val="0"/>
                <w:highlight w:val="none"/>
                <w:lang w:val="en-US" w:eastAsia="zh-CN"/>
              </w:rPr>
              <w:t>4.</w:t>
            </w:r>
            <w:r>
              <w:rPr>
                <w:rFonts w:hint="eastAsia" w:ascii="宋体" w:hAnsi="宋体" w:eastAsia="宋体" w:cs="Times New Roman"/>
                <w:color w:val="auto"/>
                <w:kern w:val="0"/>
                <w:highlight w:val="none"/>
                <w:lang w:val="en-US" w:eastAsia="zh-CN"/>
              </w:rPr>
              <w:t>未覆盖上述内容，阐述严重缺乏条理性，措施极不完善，得</w:t>
            </w:r>
            <w:r>
              <w:rPr>
                <w:rFonts w:hint="eastAsia" w:ascii="宋体" w:hAnsi="宋体" w:cs="Times New Roman"/>
                <w:color w:val="auto"/>
                <w:kern w:val="0"/>
                <w:highlight w:val="none"/>
                <w:lang w:val="en-US" w:eastAsia="zh-CN"/>
              </w:rPr>
              <w:t>0-3</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w:t>
            </w:r>
          </w:p>
          <w:p w14:paraId="708D56A9">
            <w:pPr>
              <w:spacing w:before="1" w:line="216" w:lineRule="auto"/>
              <w:ind w:firstLine="420" w:firstLineChars="200"/>
              <w:rPr>
                <w:rFonts w:hint="eastAsia" w:ascii="宋体" w:hAnsi="宋体" w:eastAsia="宋体" w:cs="Times New Roman"/>
                <w:color w:val="auto"/>
                <w:kern w:val="0"/>
                <w:highlight w:val="none"/>
                <w:lang w:val="en-US" w:eastAsia="zh-CN"/>
              </w:rPr>
            </w:pPr>
            <w:r>
              <w:rPr>
                <w:rFonts w:hint="eastAsia" w:ascii="宋体" w:hAnsi="宋体" w:cs="Times New Roman"/>
                <w:color w:val="auto"/>
                <w:kern w:val="0"/>
                <w:highlight w:val="none"/>
                <w:lang w:val="en-US" w:eastAsia="zh-CN"/>
              </w:rPr>
              <w:t>5.</w:t>
            </w:r>
            <w:r>
              <w:rPr>
                <w:rFonts w:hint="eastAsia" w:ascii="宋体" w:hAnsi="宋体" w:eastAsia="宋体" w:cs="Times New Roman"/>
                <w:color w:val="auto"/>
                <w:kern w:val="0"/>
                <w:highlight w:val="none"/>
                <w:lang w:val="en-US" w:eastAsia="zh-CN"/>
              </w:rPr>
              <w:t>未提供相应内容的不得分。</w:t>
            </w:r>
          </w:p>
        </w:tc>
      </w:tr>
      <w:tr w14:paraId="144763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329" w:hRule="atLeast"/>
          <w:jc w:val="center"/>
        </w:trPr>
        <w:tc>
          <w:tcPr>
            <w:tcW w:w="752" w:type="dxa"/>
            <w:vMerge w:val="continue"/>
            <w:noWrap w:val="0"/>
            <w:vAlign w:val="top"/>
          </w:tcPr>
          <w:p w14:paraId="4C10D4AC">
            <w:pPr>
              <w:snapToGrid w:val="0"/>
              <w:spacing w:line="400" w:lineRule="exact"/>
              <w:rPr>
                <w:rFonts w:ascii="宋体" w:hAnsi="宋体" w:eastAsia="宋体" w:cs="Times New Roman"/>
                <w:color w:val="auto"/>
                <w:highlight w:val="none"/>
              </w:rPr>
            </w:pPr>
          </w:p>
        </w:tc>
        <w:tc>
          <w:tcPr>
            <w:tcW w:w="666" w:type="dxa"/>
            <w:vMerge w:val="continue"/>
            <w:noWrap w:val="0"/>
            <w:vAlign w:val="top"/>
          </w:tcPr>
          <w:p w14:paraId="5768AFDD">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12B16BA9">
            <w:pPr>
              <w:spacing w:before="1" w:line="216" w:lineRule="auto"/>
              <w:jc w:val="center"/>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发生因公患病、工伤或工亡后做好善后工作的措施（</w:t>
            </w:r>
            <w:r>
              <w:rPr>
                <w:rFonts w:hint="eastAsia" w:ascii="宋体" w:hAnsi="宋体" w:cs="Times New Roman"/>
                <w:color w:val="auto"/>
                <w:kern w:val="0"/>
                <w:highlight w:val="none"/>
                <w:lang w:val="en-US" w:eastAsia="zh-CN"/>
              </w:rPr>
              <w:t>5</w:t>
            </w:r>
            <w:r>
              <w:rPr>
                <w:rFonts w:hint="eastAsia" w:ascii="宋体" w:hAnsi="宋体" w:eastAsia="宋体" w:cs="Times New Roman"/>
                <w:color w:val="auto"/>
                <w:kern w:val="0"/>
                <w:highlight w:val="none"/>
                <w:lang w:val="en-US" w:eastAsia="zh-CN"/>
              </w:rPr>
              <w:t>分）</w:t>
            </w:r>
          </w:p>
          <w:p w14:paraId="21F19D17">
            <w:pPr>
              <w:spacing w:before="1" w:line="216" w:lineRule="auto"/>
              <w:ind w:left="117" w:leftChars="0" w:firstLine="420" w:firstLineChars="200"/>
              <w:rPr>
                <w:rFonts w:hint="eastAsia" w:ascii="宋体" w:hAnsi="宋体" w:eastAsia="宋体" w:cs="Times New Roman"/>
                <w:color w:val="auto"/>
                <w:kern w:val="0"/>
                <w:highlight w:val="none"/>
                <w:lang w:val="en-US" w:eastAsia="zh-CN"/>
              </w:rPr>
            </w:pPr>
          </w:p>
        </w:tc>
        <w:tc>
          <w:tcPr>
            <w:tcW w:w="5493" w:type="dxa"/>
            <w:shd w:val="clear" w:color="auto" w:fill="auto"/>
            <w:noWrap w:val="0"/>
            <w:vAlign w:val="top"/>
          </w:tcPr>
          <w:p w14:paraId="0C972553">
            <w:pPr>
              <w:spacing w:before="1" w:line="216" w:lineRule="auto"/>
              <w:ind w:left="117" w:leftChars="0" w:firstLine="420" w:firstLineChars="200"/>
              <w:rPr>
                <w:rFonts w:hint="default"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人员发生因公患病、工伤或工亡后做好善后工作的措施进行打分。</w:t>
            </w:r>
          </w:p>
          <w:p w14:paraId="24364792">
            <w:pPr>
              <w:spacing w:before="1" w:line="216" w:lineRule="auto"/>
              <w:ind w:left="117" w:leftChars="0"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1.措施和办法实施步骤思路清晰，实施方法、具体工作安排科学合理的，有很高的行业属性和实操性，得</w:t>
            </w:r>
            <w:r>
              <w:rPr>
                <w:rFonts w:hint="eastAsia" w:ascii="宋体" w:hAnsi="宋体" w:cs="Times New Roman"/>
                <w:color w:val="auto"/>
                <w:kern w:val="0"/>
                <w:highlight w:val="none"/>
                <w:lang w:val="en-US" w:eastAsia="zh-CN"/>
              </w:rPr>
              <w:t>4.5-5</w:t>
            </w:r>
            <w:r>
              <w:rPr>
                <w:rFonts w:hint="eastAsia" w:ascii="宋体" w:hAnsi="宋体" w:eastAsia="宋体" w:cs="Times New Roman"/>
                <w:color w:val="auto"/>
                <w:kern w:val="0"/>
                <w:highlight w:val="none"/>
                <w:lang w:val="en-US" w:eastAsia="zh-CN"/>
              </w:rPr>
              <w:t>分；</w:t>
            </w:r>
          </w:p>
          <w:p w14:paraId="1D279313">
            <w:pPr>
              <w:spacing w:before="1" w:line="216" w:lineRule="auto"/>
              <w:ind w:left="117" w:leftChars="0"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2.措施和办法实施步骤思路较清晰，实施方法、具体工作安排较为科学合理，有较高的行业属性和实操性得</w:t>
            </w:r>
            <w:r>
              <w:rPr>
                <w:rFonts w:hint="eastAsia" w:ascii="宋体" w:hAnsi="宋体" w:cs="Times New Roman"/>
                <w:color w:val="auto"/>
                <w:kern w:val="0"/>
                <w:highlight w:val="none"/>
                <w:lang w:val="en-US" w:eastAsia="zh-CN"/>
              </w:rPr>
              <w:t>4-4.5</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w:t>
            </w:r>
          </w:p>
          <w:p w14:paraId="627D5C0F">
            <w:pPr>
              <w:spacing w:before="1" w:line="216" w:lineRule="auto"/>
              <w:ind w:left="117" w:leftChars="0"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3.措施和办法实施步骤思路欠缺，实施方法、具体工作安排不太合理，针对性一般，实施步骤安排基本满足项目要求但存在明显缺陷的得</w:t>
            </w:r>
            <w:r>
              <w:rPr>
                <w:rFonts w:hint="eastAsia" w:ascii="宋体" w:hAnsi="宋体" w:cs="Times New Roman"/>
                <w:color w:val="auto"/>
                <w:kern w:val="0"/>
                <w:highlight w:val="none"/>
                <w:lang w:val="en-US" w:eastAsia="zh-CN"/>
              </w:rPr>
              <w:t>3-4分（不含）</w:t>
            </w:r>
            <w:r>
              <w:rPr>
                <w:rFonts w:hint="eastAsia" w:ascii="宋体" w:hAnsi="宋体" w:eastAsia="宋体" w:cs="Times New Roman"/>
                <w:color w:val="auto"/>
                <w:kern w:val="0"/>
                <w:highlight w:val="none"/>
                <w:lang w:val="en-US" w:eastAsia="zh-CN"/>
              </w:rPr>
              <w:t>；</w:t>
            </w:r>
          </w:p>
          <w:p w14:paraId="472C347B">
            <w:pPr>
              <w:spacing w:before="1" w:line="216" w:lineRule="auto"/>
              <w:ind w:left="117" w:leftChars="0"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4.措施和办法步骤安排明显不合理，且与项目要求存在明显差距的得</w:t>
            </w:r>
            <w:r>
              <w:rPr>
                <w:rFonts w:hint="eastAsia" w:ascii="宋体" w:hAnsi="宋体" w:cs="Times New Roman"/>
                <w:color w:val="auto"/>
                <w:kern w:val="0"/>
                <w:highlight w:val="none"/>
                <w:lang w:val="en-US" w:eastAsia="zh-CN"/>
              </w:rPr>
              <w:t>0-3分（不含）；</w:t>
            </w:r>
          </w:p>
          <w:p w14:paraId="57F6FAC0">
            <w:pPr>
              <w:spacing w:before="1" w:line="216" w:lineRule="auto"/>
              <w:ind w:left="117" w:leftChars="0"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5.未提供实施方案的不得分。</w:t>
            </w:r>
          </w:p>
        </w:tc>
      </w:tr>
      <w:tr w14:paraId="744152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vMerge w:val="continue"/>
            <w:noWrap w:val="0"/>
            <w:vAlign w:val="top"/>
          </w:tcPr>
          <w:p w14:paraId="2F0BFDED">
            <w:pPr>
              <w:snapToGrid w:val="0"/>
              <w:spacing w:line="400" w:lineRule="exact"/>
              <w:rPr>
                <w:rFonts w:ascii="宋体" w:hAnsi="宋体" w:eastAsia="宋体" w:cs="Times New Roman"/>
                <w:color w:val="auto"/>
                <w:highlight w:val="none"/>
              </w:rPr>
            </w:pPr>
          </w:p>
        </w:tc>
        <w:tc>
          <w:tcPr>
            <w:tcW w:w="666" w:type="dxa"/>
            <w:vMerge w:val="continue"/>
            <w:noWrap w:val="0"/>
            <w:vAlign w:val="top"/>
          </w:tcPr>
          <w:p w14:paraId="42397FA8">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02D677D7">
            <w:pPr>
              <w:spacing w:before="1" w:line="216" w:lineRule="auto"/>
              <w:ind w:left="117" w:leftChars="0"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应急预案（6分）</w:t>
            </w:r>
          </w:p>
        </w:tc>
        <w:tc>
          <w:tcPr>
            <w:tcW w:w="5493" w:type="dxa"/>
            <w:shd w:val="clear" w:color="auto" w:fill="auto"/>
            <w:noWrap w:val="0"/>
            <w:vAlign w:val="top"/>
          </w:tcPr>
          <w:p w14:paraId="100FD118">
            <w:pPr>
              <w:spacing w:before="1" w:line="216" w:lineRule="auto"/>
              <w:ind w:left="117" w:leftChars="0" w:firstLine="420" w:firstLineChars="200"/>
              <w:rPr>
                <w:rFonts w:hint="default"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应急预案进行评分。</w:t>
            </w:r>
          </w:p>
          <w:p w14:paraId="17912D1C">
            <w:pPr>
              <w:spacing w:before="1" w:line="216" w:lineRule="auto"/>
              <w:ind w:left="117" w:leftChars="0"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1.内容阐述详尽完整、措施完善、条理清晰、覆盖全面，得</w:t>
            </w:r>
            <w:r>
              <w:rPr>
                <w:rFonts w:hint="eastAsia" w:ascii="宋体" w:hAnsi="宋体" w:cs="Times New Roman"/>
                <w:color w:val="auto"/>
                <w:kern w:val="0"/>
                <w:highlight w:val="none"/>
                <w:lang w:val="en-US" w:eastAsia="zh-CN"/>
              </w:rPr>
              <w:t>5.4-6</w:t>
            </w:r>
            <w:r>
              <w:rPr>
                <w:rFonts w:hint="eastAsia" w:ascii="宋体" w:hAnsi="宋体" w:eastAsia="宋体" w:cs="Times New Roman"/>
                <w:color w:val="auto"/>
                <w:kern w:val="0"/>
                <w:highlight w:val="none"/>
                <w:lang w:val="en-US" w:eastAsia="zh-CN"/>
              </w:rPr>
              <w:t>分；</w:t>
            </w:r>
            <w:r>
              <w:rPr>
                <w:rFonts w:hint="eastAsia" w:ascii="宋体" w:hAnsi="宋体" w:eastAsia="宋体" w:cs="Times New Roman"/>
                <w:color w:val="auto"/>
                <w:kern w:val="0"/>
                <w:highlight w:val="none"/>
                <w:lang w:val="en-US" w:eastAsia="zh-CN"/>
              </w:rPr>
              <w:br w:type="textWrapping"/>
            </w:r>
            <w:r>
              <w:rPr>
                <w:rFonts w:hint="eastAsia" w:ascii="宋体" w:hAnsi="宋体" w:eastAsia="宋体" w:cs="Times New Roman"/>
                <w:color w:val="auto"/>
                <w:kern w:val="0"/>
                <w:highlight w:val="none"/>
                <w:lang w:val="en-US" w:eastAsia="zh-CN"/>
              </w:rPr>
              <w:t xml:space="preserve">    2.覆盖上述内容，但阐述较详尽，措施较完善，条理较清晰，得</w:t>
            </w:r>
            <w:r>
              <w:rPr>
                <w:rFonts w:hint="eastAsia" w:ascii="宋体" w:hAnsi="宋体" w:cs="Times New Roman"/>
                <w:color w:val="auto"/>
                <w:kern w:val="0"/>
                <w:highlight w:val="none"/>
                <w:lang w:val="en-US" w:eastAsia="zh-CN"/>
              </w:rPr>
              <w:t>4.8-5.4</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w:t>
            </w:r>
          </w:p>
          <w:p w14:paraId="01167186">
            <w:pPr>
              <w:spacing w:before="1" w:line="216" w:lineRule="auto"/>
              <w:ind w:left="117" w:leftChars="0"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3.覆盖上述内容，但阐述不详尽，措施不完善，条理不够清晰，得</w:t>
            </w:r>
            <w:r>
              <w:rPr>
                <w:rFonts w:hint="eastAsia" w:ascii="宋体" w:hAnsi="宋体" w:cs="Times New Roman"/>
                <w:color w:val="auto"/>
                <w:kern w:val="0"/>
                <w:highlight w:val="none"/>
                <w:lang w:val="en-US" w:eastAsia="zh-CN"/>
              </w:rPr>
              <w:t>3.6-4.8</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（不含）</w:t>
            </w:r>
            <w:r>
              <w:rPr>
                <w:rFonts w:hint="eastAsia" w:ascii="宋体" w:hAnsi="宋体" w:eastAsia="宋体" w:cs="Times New Roman"/>
                <w:color w:val="auto"/>
                <w:kern w:val="0"/>
                <w:highlight w:val="none"/>
                <w:lang w:val="en-US" w:eastAsia="zh-CN"/>
              </w:rPr>
              <w:t>；</w:t>
            </w:r>
            <w:r>
              <w:rPr>
                <w:rFonts w:hint="eastAsia" w:ascii="宋体" w:hAnsi="宋体" w:eastAsia="宋体" w:cs="Times New Roman"/>
                <w:color w:val="auto"/>
                <w:kern w:val="0"/>
                <w:highlight w:val="none"/>
                <w:lang w:val="en-US" w:eastAsia="zh-CN"/>
              </w:rPr>
              <w:br w:type="textWrapping"/>
            </w:r>
            <w:r>
              <w:rPr>
                <w:rFonts w:hint="eastAsia" w:ascii="宋体" w:hAnsi="宋体" w:eastAsia="宋体" w:cs="Times New Roman"/>
                <w:color w:val="auto"/>
                <w:kern w:val="0"/>
                <w:highlight w:val="none"/>
                <w:lang w:val="en-US" w:eastAsia="zh-CN"/>
              </w:rPr>
              <w:t xml:space="preserve">    4.未覆盖上述内容，阐述严重缺乏条理性，措施极不完善，得</w:t>
            </w:r>
            <w:r>
              <w:rPr>
                <w:rFonts w:hint="eastAsia" w:ascii="宋体" w:hAnsi="宋体" w:cs="Times New Roman"/>
                <w:color w:val="auto"/>
                <w:kern w:val="0"/>
                <w:highlight w:val="none"/>
                <w:lang w:val="en-US" w:eastAsia="zh-CN"/>
              </w:rPr>
              <w:t>0-3.6分（不含）</w:t>
            </w:r>
            <w:r>
              <w:rPr>
                <w:rFonts w:hint="eastAsia" w:ascii="宋体" w:hAnsi="宋体" w:eastAsia="宋体" w:cs="Times New Roman"/>
                <w:color w:val="auto"/>
                <w:kern w:val="0"/>
                <w:highlight w:val="none"/>
                <w:lang w:val="en-US" w:eastAsia="zh-CN"/>
              </w:rPr>
              <w:t>；</w:t>
            </w:r>
          </w:p>
          <w:p w14:paraId="61AC2226">
            <w:pPr>
              <w:spacing w:before="1" w:line="216" w:lineRule="auto"/>
              <w:ind w:left="117" w:leftChars="0" w:firstLine="420" w:firstLineChars="200"/>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5.未提供相应内容的不得分。</w:t>
            </w:r>
          </w:p>
        </w:tc>
      </w:tr>
      <w:tr w14:paraId="108456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75" w:hRule="atLeast"/>
          <w:jc w:val="center"/>
        </w:trPr>
        <w:tc>
          <w:tcPr>
            <w:tcW w:w="752" w:type="dxa"/>
            <w:shd w:val="clear" w:color="auto" w:fill="auto"/>
            <w:noWrap w:val="0"/>
            <w:vAlign w:val="top"/>
          </w:tcPr>
          <w:p w14:paraId="2B17C9E4">
            <w:pPr>
              <w:snapToGrid w:val="0"/>
              <w:spacing w:line="400" w:lineRule="exact"/>
              <w:rPr>
                <w:rFonts w:ascii="宋体" w:hAnsi="宋体" w:eastAsia="宋体" w:cs="Times New Roman"/>
                <w:color w:val="auto"/>
                <w:kern w:val="2"/>
                <w:sz w:val="21"/>
                <w:szCs w:val="24"/>
                <w:highlight w:val="none"/>
                <w:lang w:val="en-US" w:eastAsia="zh-CN" w:bidi="ar-SA"/>
              </w:rPr>
            </w:pPr>
            <w:r>
              <w:rPr>
                <w:rFonts w:ascii="宋体" w:hAnsi="宋体" w:eastAsia="宋体" w:cs="Times New Roman"/>
                <w:color w:val="auto"/>
                <w:kern w:val="0"/>
                <w:szCs w:val="21"/>
                <w:highlight w:val="none"/>
              </w:rPr>
              <w:t>2.2.4</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eastAsia="zh-CN"/>
              </w:rPr>
              <w:t>）</w:t>
            </w:r>
          </w:p>
        </w:tc>
        <w:tc>
          <w:tcPr>
            <w:tcW w:w="666" w:type="dxa"/>
            <w:shd w:val="clear" w:color="auto" w:fill="auto"/>
            <w:noWrap w:val="0"/>
            <w:vAlign w:val="top"/>
          </w:tcPr>
          <w:p w14:paraId="0CD4B04B">
            <w:pPr>
              <w:snapToGrid w:val="0"/>
              <w:spacing w:line="400" w:lineRule="exact"/>
              <w:rPr>
                <w:rFonts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商务部分评审标准</w:t>
            </w:r>
          </w:p>
        </w:tc>
        <w:tc>
          <w:tcPr>
            <w:tcW w:w="2558" w:type="dxa"/>
            <w:gridSpan w:val="3"/>
            <w:shd w:val="clear" w:color="auto" w:fill="auto"/>
            <w:noWrap w:val="0"/>
            <w:vAlign w:val="center"/>
          </w:tcPr>
          <w:p w14:paraId="451BF7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highlight w:val="none"/>
                <w:lang w:val="en-US" w:eastAsia="zh-CN"/>
              </w:rPr>
              <w:t>业绩（20分）</w:t>
            </w:r>
          </w:p>
        </w:tc>
        <w:tc>
          <w:tcPr>
            <w:tcW w:w="5493" w:type="dxa"/>
            <w:shd w:val="clear" w:color="auto" w:fill="auto"/>
            <w:noWrap w:val="0"/>
            <w:vAlign w:val="center"/>
          </w:tcPr>
          <w:p w14:paraId="0CFFDDA1">
            <w:pPr>
              <w:keepNext w:val="0"/>
              <w:keepLines w:val="0"/>
              <w:pageBreakBefore w:val="0"/>
              <w:widowControl w:val="0"/>
              <w:kinsoku/>
              <w:wordWrap/>
              <w:overflowPunct/>
              <w:topLinePunct w:val="0"/>
              <w:autoSpaceDE/>
              <w:autoSpaceDN/>
              <w:bidi w:val="0"/>
              <w:adjustRightInd/>
              <w:snapToGrid w:val="0"/>
              <w:spacing w:line="240" w:lineRule="auto"/>
              <w:ind w:firstLine="416" w:firstLineChars="200"/>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2022年1月1日至今（以合同签订服务时间为准），竞标人具有类似</w:t>
            </w:r>
            <w:r>
              <w:rPr>
                <w:rFonts w:hint="eastAsia" w:ascii="宋体" w:hAnsi="宋体" w:cs="宋体"/>
                <w:color w:val="auto"/>
                <w:spacing w:val="-1"/>
                <w:sz w:val="21"/>
                <w:szCs w:val="21"/>
                <w:highlight w:val="none"/>
                <w:lang w:val="en-US" w:eastAsia="zh-CN"/>
              </w:rPr>
              <w:t>保安、保洁、会议服务等业绩</w:t>
            </w:r>
            <w:r>
              <w:rPr>
                <w:rFonts w:hint="eastAsia" w:ascii="宋体" w:hAnsi="宋体" w:eastAsia="宋体" w:cs="宋体"/>
                <w:color w:val="auto"/>
                <w:spacing w:val="-1"/>
                <w:sz w:val="21"/>
                <w:szCs w:val="21"/>
                <w:highlight w:val="none"/>
                <w:lang w:val="en-US" w:eastAsia="zh-CN"/>
              </w:rPr>
              <w:t>的</w:t>
            </w:r>
            <w:r>
              <w:rPr>
                <w:rFonts w:hint="eastAsia" w:ascii="宋体" w:hAnsi="宋体" w:eastAsia="宋体" w:cs="宋体"/>
                <w:color w:val="auto"/>
                <w:spacing w:val="-1"/>
                <w:sz w:val="21"/>
                <w:szCs w:val="21"/>
                <w:highlight w:val="none"/>
              </w:rPr>
              <w:t>得</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分，此项最多得</w:t>
            </w:r>
            <w:r>
              <w:rPr>
                <w:rFonts w:hint="eastAsia" w:ascii="宋体" w:hAnsi="宋体" w:eastAsia="宋体" w:cs="宋体"/>
                <w:color w:val="auto"/>
                <w:spacing w:val="-1"/>
                <w:sz w:val="21"/>
                <w:szCs w:val="21"/>
                <w:highlight w:val="none"/>
                <w:lang w:val="en-US" w:eastAsia="zh-CN"/>
              </w:rPr>
              <w:t>20</w:t>
            </w:r>
            <w:r>
              <w:rPr>
                <w:rFonts w:hint="eastAsia" w:ascii="宋体" w:hAnsi="宋体" w:eastAsia="宋体" w:cs="宋体"/>
                <w:color w:val="auto"/>
                <w:spacing w:val="-1"/>
                <w:sz w:val="21"/>
                <w:szCs w:val="21"/>
                <w:highlight w:val="none"/>
              </w:rPr>
              <w:t>分。</w:t>
            </w:r>
          </w:p>
          <w:p w14:paraId="1DAF7E48">
            <w:pPr>
              <w:keepNext w:val="0"/>
              <w:keepLines w:val="0"/>
              <w:pageBreakBefore w:val="0"/>
              <w:widowControl w:val="0"/>
              <w:kinsoku/>
              <w:wordWrap/>
              <w:overflowPunct/>
              <w:topLinePunct w:val="0"/>
              <w:autoSpaceDE/>
              <w:autoSpaceDN/>
              <w:bidi w:val="0"/>
              <w:adjustRightInd/>
              <w:snapToGrid w:val="0"/>
              <w:spacing w:line="240" w:lineRule="auto"/>
              <w:ind w:firstLine="416" w:firstLineChars="200"/>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宋体"/>
                <w:color w:val="auto"/>
                <w:spacing w:val="-1"/>
                <w:sz w:val="21"/>
                <w:szCs w:val="21"/>
                <w:highlight w:val="none"/>
              </w:rPr>
              <w:t>注：提供合同（协议）复印件并加盖供应商公章。</w:t>
            </w:r>
          </w:p>
        </w:tc>
      </w:tr>
      <w:tr w14:paraId="537B55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52" w:type="dxa"/>
            <w:noWrap w:val="0"/>
            <w:vAlign w:val="center"/>
          </w:tcPr>
          <w:p w14:paraId="1C5C233B">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highlight w:val="none"/>
              </w:rPr>
              <w:t>3</w:t>
            </w:r>
          </w:p>
        </w:tc>
        <w:tc>
          <w:tcPr>
            <w:tcW w:w="1375" w:type="dxa"/>
            <w:gridSpan w:val="2"/>
            <w:noWrap w:val="0"/>
            <w:vAlign w:val="center"/>
          </w:tcPr>
          <w:p w14:paraId="14D30A17">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highlight w:val="none"/>
              </w:rPr>
              <w:t>评标程序</w:t>
            </w:r>
          </w:p>
        </w:tc>
        <w:tc>
          <w:tcPr>
            <w:tcW w:w="7342" w:type="dxa"/>
            <w:gridSpan w:val="3"/>
            <w:noWrap w:val="0"/>
            <w:vAlign w:val="top"/>
          </w:tcPr>
          <w:p w14:paraId="78480477">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1.按本章评标办法第3.1款进行初步评审。</w:t>
            </w:r>
          </w:p>
          <w:p w14:paraId="5DA6A065">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2.按本章评标办法前附表2.2.4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及3.2.1（1）项的规定对技术方案进行</w:t>
            </w:r>
            <w:r>
              <w:rPr>
                <w:rFonts w:hint="eastAsia" w:ascii="宋体" w:hAnsi="宋体" w:cs="Times New Roman"/>
                <w:color w:val="auto"/>
                <w:szCs w:val="21"/>
                <w:highlight w:val="none"/>
                <w:lang w:eastAsia="zh-CN"/>
              </w:rPr>
              <w:t>明</w:t>
            </w:r>
            <w:r>
              <w:rPr>
                <w:rFonts w:hint="eastAsia" w:ascii="宋体" w:hAnsi="宋体" w:eastAsia="宋体" w:cs="Times New Roman"/>
                <w:color w:val="auto"/>
                <w:szCs w:val="21"/>
                <w:highlight w:val="none"/>
              </w:rPr>
              <w:t>标评审。</w:t>
            </w:r>
          </w:p>
          <w:p w14:paraId="173CA4D2">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3.按本章评标办法前附表第2.2.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（2）目及第3.2.1（2）目的规定对商务部分进行评审。</w:t>
            </w:r>
          </w:p>
          <w:p w14:paraId="658BC935">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对初步评审合格的</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人按照本章2.2.2项计算方法计算评标基准价，并按本附表3.2.1（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）规定的评分方法对投标总报价进行评分。</w:t>
            </w:r>
          </w:p>
          <w:p w14:paraId="3B1F455E">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.对技术方案、</w:t>
            </w:r>
            <w:r>
              <w:rPr>
                <w:rFonts w:hint="eastAsia" w:ascii="宋体" w:hAnsi="宋体" w:eastAsia="宋体" w:cs="Times New Roman"/>
                <w:color w:val="auto"/>
                <w:szCs w:val="21"/>
                <w:highlight w:val="none"/>
                <w:lang w:val="en-US" w:eastAsia="zh-CN"/>
              </w:rPr>
              <w:t>商务部分、</w:t>
            </w:r>
            <w:r>
              <w:rPr>
                <w:rFonts w:hint="eastAsia" w:ascii="宋体" w:hAnsi="宋体" w:eastAsia="宋体" w:cs="Times New Roman"/>
                <w:color w:val="auto"/>
                <w:szCs w:val="21"/>
                <w:highlight w:val="none"/>
              </w:rPr>
              <w:t>投标总报价得分进行汇总，确定得分由高至低前三名</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人为中标候选人。</w:t>
            </w:r>
          </w:p>
          <w:p w14:paraId="28939A46">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5.因</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作否决投标处理导致有效</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人不足三个的，</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应当否决所有投标。但是有效</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人的经济、技术等指标仍然具有市场竞争力，能够满足招标文件要求的，</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可以继续评标并确定中标候选人。</w:t>
            </w:r>
          </w:p>
        </w:tc>
      </w:tr>
      <w:tr w14:paraId="40D1A2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52" w:type="dxa"/>
            <w:vMerge w:val="restart"/>
            <w:noWrap w:val="0"/>
            <w:vAlign w:val="center"/>
          </w:tcPr>
          <w:p w14:paraId="0620C0A4">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3.2.1</w:t>
            </w:r>
          </w:p>
          <w:p w14:paraId="37794031">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w:t>
            </w:r>
            <w:r>
              <w:rPr>
                <w:rFonts w:hint="eastAsia" w:ascii="宋体" w:hAnsi="宋体" w:eastAsia="宋体" w:cs="Times New Roman"/>
                <w:color w:val="auto"/>
                <w:highlight w:val="none"/>
              </w:rPr>
              <w:t>1</w:t>
            </w:r>
            <w:r>
              <w:rPr>
                <w:rFonts w:ascii="宋体" w:hAnsi="宋体" w:eastAsia="宋体" w:cs="Times New Roman"/>
                <w:color w:val="auto"/>
                <w:highlight w:val="none"/>
              </w:rPr>
              <w:t>）</w:t>
            </w:r>
          </w:p>
        </w:tc>
        <w:tc>
          <w:tcPr>
            <w:tcW w:w="1375" w:type="dxa"/>
            <w:gridSpan w:val="2"/>
            <w:vMerge w:val="restart"/>
            <w:shd w:val="clear" w:color="auto" w:fill="auto"/>
            <w:noWrap w:val="0"/>
            <w:vAlign w:val="center"/>
          </w:tcPr>
          <w:p w14:paraId="212CFD26">
            <w:pPr>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技术方案</w:t>
            </w:r>
            <w:r>
              <w:rPr>
                <w:rFonts w:ascii="宋体" w:hAnsi="宋体" w:eastAsia="宋体" w:cs="Times New Roman"/>
                <w:color w:val="auto"/>
                <w:kern w:val="0"/>
                <w:highlight w:val="none"/>
              </w:rPr>
              <w:t>得分</w:t>
            </w:r>
            <w:r>
              <w:rPr>
                <w:rFonts w:ascii="宋体" w:hAnsi="宋体" w:eastAsia="宋体" w:cs="Times New Roman"/>
                <w:color w:val="auto"/>
                <w:spacing w:val="-4"/>
                <w:highlight w:val="none"/>
              </w:rPr>
              <w:t>（</w:t>
            </w:r>
            <w:r>
              <w:rPr>
                <w:rFonts w:hint="eastAsia" w:ascii="宋体" w:hAnsi="宋体" w:eastAsia="宋体" w:cs="Times New Roman"/>
                <w:color w:val="auto"/>
                <w:spacing w:val="-4"/>
                <w:highlight w:val="none"/>
              </w:rPr>
              <w:t>A）</w:t>
            </w:r>
          </w:p>
        </w:tc>
        <w:tc>
          <w:tcPr>
            <w:tcW w:w="1849" w:type="dxa"/>
            <w:gridSpan w:val="2"/>
            <w:tcBorders>
              <w:bottom w:val="single" w:color="auto" w:sz="4" w:space="0"/>
            </w:tcBorders>
            <w:shd w:val="clear" w:color="auto" w:fill="auto"/>
            <w:noWrap w:val="0"/>
            <w:vAlign w:val="center"/>
          </w:tcPr>
          <w:p w14:paraId="128F899A">
            <w:pPr>
              <w:spacing w:before="1" w:line="216" w:lineRule="auto"/>
              <w:jc w:val="center"/>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highlight w:val="none"/>
                <w:lang w:val="en-US" w:eastAsia="zh-CN"/>
              </w:rPr>
              <w:t>项目管理</w:t>
            </w:r>
          </w:p>
        </w:tc>
        <w:tc>
          <w:tcPr>
            <w:tcW w:w="5493" w:type="dxa"/>
            <w:vMerge w:val="restart"/>
            <w:shd w:val="clear" w:color="auto" w:fill="auto"/>
            <w:noWrap w:val="0"/>
            <w:vAlign w:val="center"/>
          </w:tcPr>
          <w:p w14:paraId="3CDC4D1C">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按2.2.4（</w:t>
            </w: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）项各评审因素设定的分值评分。</w:t>
            </w:r>
          </w:p>
          <w:p w14:paraId="238ECF04">
            <w:pPr>
              <w:spacing w:line="400" w:lineRule="exact"/>
              <w:ind w:firstLine="420" w:firstLineChars="200"/>
              <w:rPr>
                <w:rFonts w:ascii="宋体" w:hAnsi="宋体" w:eastAsia="宋体" w:cs="Times New Roman"/>
                <w:snapToGrid w:val="0"/>
                <w:color w:val="auto"/>
                <w:kern w:val="0"/>
                <w:szCs w:val="21"/>
                <w:highlight w:val="none"/>
              </w:rPr>
            </w:pPr>
            <w:r>
              <w:rPr>
                <w:rFonts w:ascii="宋体" w:hAnsi="宋体" w:eastAsia="宋体" w:cs="Times New Roman"/>
                <w:snapToGrid w:val="0"/>
                <w:color w:val="auto"/>
                <w:kern w:val="0"/>
                <w:szCs w:val="21"/>
                <w:highlight w:val="none"/>
              </w:rPr>
              <w:t>招标文件中设有</w:t>
            </w:r>
            <w:r>
              <w:rPr>
                <w:rFonts w:hint="eastAsia" w:ascii="宋体" w:hAnsi="宋体" w:eastAsia="宋体" w:cs="Times New Roman"/>
                <w:snapToGrid w:val="0"/>
                <w:color w:val="auto"/>
                <w:kern w:val="0"/>
                <w:szCs w:val="21"/>
                <w:highlight w:val="none"/>
              </w:rPr>
              <w:t>技术方案</w:t>
            </w:r>
            <w:r>
              <w:rPr>
                <w:rFonts w:ascii="宋体" w:hAnsi="宋体" w:eastAsia="宋体" w:cs="Times New Roman"/>
                <w:snapToGrid w:val="0"/>
                <w:color w:val="auto"/>
                <w:kern w:val="0"/>
                <w:szCs w:val="21"/>
                <w:highlight w:val="none"/>
              </w:rPr>
              <w:t>评审的，</w:t>
            </w:r>
            <w:r>
              <w:rPr>
                <w:rFonts w:hint="eastAsia" w:ascii="宋体" w:hAnsi="宋体" w:eastAsia="宋体" w:cs="Times New Roman"/>
                <w:snapToGrid w:val="0"/>
                <w:color w:val="auto"/>
                <w:kern w:val="0"/>
                <w:szCs w:val="21"/>
                <w:highlight w:val="none"/>
                <w:lang w:eastAsia="zh-CN"/>
              </w:rPr>
              <w:t>评审小组</w:t>
            </w:r>
            <w:r>
              <w:rPr>
                <w:rFonts w:ascii="宋体" w:hAnsi="宋体" w:eastAsia="宋体" w:cs="Times New Roman"/>
                <w:snapToGrid w:val="0"/>
                <w:color w:val="auto"/>
                <w:kern w:val="0"/>
                <w:szCs w:val="21"/>
                <w:highlight w:val="none"/>
              </w:rPr>
              <w:t>全体成员对</w:t>
            </w:r>
            <w:r>
              <w:rPr>
                <w:rFonts w:hint="eastAsia" w:ascii="宋体" w:hAnsi="宋体" w:eastAsia="宋体" w:cs="Times New Roman"/>
                <w:snapToGrid w:val="0"/>
                <w:color w:val="auto"/>
                <w:kern w:val="0"/>
                <w:szCs w:val="21"/>
                <w:highlight w:val="none"/>
              </w:rPr>
              <w:t>技术方案</w:t>
            </w:r>
            <w:r>
              <w:rPr>
                <w:rFonts w:ascii="宋体" w:hAnsi="宋体" w:eastAsia="宋体" w:cs="Times New Roman"/>
                <w:snapToGrid w:val="0"/>
                <w:color w:val="auto"/>
                <w:kern w:val="0"/>
                <w:szCs w:val="21"/>
                <w:highlight w:val="none"/>
              </w:rPr>
              <w:t>进行评审，评委打分取算术平均值为该</w:t>
            </w:r>
            <w:r>
              <w:rPr>
                <w:rFonts w:hint="eastAsia" w:ascii="宋体" w:hAnsi="宋体" w:eastAsia="宋体" w:cs="Times New Roman"/>
                <w:snapToGrid w:val="0"/>
                <w:color w:val="auto"/>
                <w:kern w:val="0"/>
                <w:szCs w:val="21"/>
                <w:highlight w:val="none"/>
                <w:lang w:eastAsia="zh-CN"/>
              </w:rPr>
              <w:t>竞标</w:t>
            </w:r>
            <w:r>
              <w:rPr>
                <w:rFonts w:ascii="宋体" w:hAnsi="宋体" w:eastAsia="宋体" w:cs="Times New Roman"/>
                <w:snapToGrid w:val="0"/>
                <w:color w:val="auto"/>
                <w:kern w:val="0"/>
                <w:szCs w:val="21"/>
                <w:highlight w:val="none"/>
              </w:rPr>
              <w:t>人技术方案得分。</w:t>
            </w:r>
          </w:p>
          <w:p w14:paraId="61AC6831">
            <w:pPr>
              <w:spacing w:line="400" w:lineRule="exact"/>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以上计算取小数点后两位，第三位四舍五入。</w:t>
            </w:r>
          </w:p>
        </w:tc>
      </w:tr>
      <w:tr w14:paraId="3778C5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752" w:type="dxa"/>
            <w:vMerge w:val="continue"/>
            <w:noWrap w:val="0"/>
            <w:vAlign w:val="center"/>
          </w:tcPr>
          <w:p w14:paraId="0CA8D724">
            <w:pPr>
              <w:spacing w:line="400" w:lineRule="exact"/>
              <w:jc w:val="center"/>
              <w:rPr>
                <w:rFonts w:ascii="宋体" w:hAnsi="宋体" w:eastAsia="宋体" w:cs="Times New Roman"/>
                <w:color w:val="auto"/>
                <w:highlight w:val="none"/>
              </w:rPr>
            </w:pPr>
          </w:p>
        </w:tc>
        <w:tc>
          <w:tcPr>
            <w:tcW w:w="1375" w:type="dxa"/>
            <w:gridSpan w:val="2"/>
            <w:vMerge w:val="continue"/>
            <w:shd w:val="clear" w:color="auto" w:fill="auto"/>
            <w:noWrap w:val="0"/>
            <w:vAlign w:val="center"/>
          </w:tcPr>
          <w:p w14:paraId="794D3DCA">
            <w:pPr>
              <w:spacing w:line="400" w:lineRule="exact"/>
              <w:jc w:val="center"/>
              <w:rPr>
                <w:rFonts w:hint="eastAsia" w:ascii="宋体" w:hAnsi="宋体" w:eastAsia="宋体" w:cs="Times New Roman"/>
                <w:color w:val="auto"/>
                <w:highlight w:val="none"/>
              </w:rPr>
            </w:pPr>
          </w:p>
        </w:tc>
        <w:tc>
          <w:tcPr>
            <w:tcW w:w="1849" w:type="dxa"/>
            <w:gridSpan w:val="2"/>
            <w:tcBorders>
              <w:bottom w:val="single" w:color="auto" w:sz="4" w:space="0"/>
            </w:tcBorders>
            <w:shd w:val="clear" w:color="auto" w:fill="auto"/>
            <w:noWrap w:val="0"/>
            <w:vAlign w:val="center"/>
          </w:tcPr>
          <w:p w14:paraId="13B75B06">
            <w:pPr>
              <w:spacing w:before="1" w:line="216" w:lineRule="auto"/>
              <w:jc w:val="center"/>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highlight w:val="none"/>
                <w:lang w:val="en-US" w:eastAsia="zh-CN"/>
              </w:rPr>
              <w:t>日常管理制度</w:t>
            </w:r>
          </w:p>
        </w:tc>
        <w:tc>
          <w:tcPr>
            <w:tcW w:w="5493" w:type="dxa"/>
            <w:vMerge w:val="continue"/>
            <w:shd w:val="clear" w:color="auto" w:fill="auto"/>
            <w:noWrap w:val="0"/>
            <w:vAlign w:val="center"/>
          </w:tcPr>
          <w:p w14:paraId="4C513793">
            <w:pPr>
              <w:spacing w:line="400" w:lineRule="exact"/>
              <w:ind w:firstLine="420" w:firstLineChars="200"/>
              <w:rPr>
                <w:rFonts w:ascii="宋体" w:hAnsi="宋体" w:eastAsia="宋体" w:cs="Times New Roman"/>
                <w:color w:val="auto"/>
                <w:kern w:val="0"/>
                <w:szCs w:val="21"/>
                <w:highlight w:val="none"/>
              </w:rPr>
            </w:pPr>
          </w:p>
        </w:tc>
      </w:tr>
      <w:tr w14:paraId="4C5443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752" w:type="dxa"/>
            <w:vMerge w:val="continue"/>
            <w:noWrap w:val="0"/>
            <w:vAlign w:val="center"/>
          </w:tcPr>
          <w:p w14:paraId="3D85CD17">
            <w:pPr>
              <w:spacing w:line="400" w:lineRule="exact"/>
              <w:jc w:val="center"/>
              <w:rPr>
                <w:rFonts w:ascii="宋体" w:hAnsi="宋体" w:eastAsia="宋体" w:cs="Times New Roman"/>
                <w:color w:val="auto"/>
                <w:highlight w:val="none"/>
              </w:rPr>
            </w:pPr>
          </w:p>
        </w:tc>
        <w:tc>
          <w:tcPr>
            <w:tcW w:w="1375" w:type="dxa"/>
            <w:gridSpan w:val="2"/>
            <w:vMerge w:val="continue"/>
            <w:shd w:val="clear" w:color="auto" w:fill="auto"/>
            <w:noWrap w:val="0"/>
            <w:vAlign w:val="center"/>
          </w:tcPr>
          <w:p w14:paraId="0E6C578E">
            <w:pPr>
              <w:spacing w:line="400" w:lineRule="exact"/>
              <w:jc w:val="center"/>
              <w:rPr>
                <w:rFonts w:hint="eastAsia" w:ascii="宋体" w:hAnsi="宋体" w:eastAsia="宋体" w:cs="Times New Roman"/>
                <w:color w:val="auto"/>
                <w:highlight w:val="none"/>
              </w:rPr>
            </w:pPr>
          </w:p>
        </w:tc>
        <w:tc>
          <w:tcPr>
            <w:tcW w:w="1849" w:type="dxa"/>
            <w:gridSpan w:val="2"/>
            <w:tcBorders>
              <w:bottom w:val="single" w:color="auto" w:sz="4" w:space="0"/>
            </w:tcBorders>
            <w:shd w:val="clear" w:color="auto" w:fill="auto"/>
            <w:noWrap w:val="0"/>
            <w:vAlign w:val="center"/>
          </w:tcPr>
          <w:p w14:paraId="1CDB5218">
            <w:pPr>
              <w:spacing w:before="69" w:line="220" w:lineRule="auto"/>
              <w:jc w:val="center"/>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宋体"/>
                <w:color w:val="auto"/>
                <w:spacing w:val="5"/>
                <w:sz w:val="21"/>
                <w:szCs w:val="21"/>
                <w:highlight w:val="none"/>
                <w:lang w:val="en-US" w:eastAsia="zh-CN"/>
              </w:rPr>
              <w:t>岗前培训</w:t>
            </w:r>
          </w:p>
        </w:tc>
        <w:tc>
          <w:tcPr>
            <w:tcW w:w="5493" w:type="dxa"/>
            <w:vMerge w:val="continue"/>
            <w:shd w:val="clear" w:color="auto" w:fill="auto"/>
            <w:noWrap w:val="0"/>
            <w:vAlign w:val="center"/>
          </w:tcPr>
          <w:p w14:paraId="621735B5">
            <w:pPr>
              <w:spacing w:line="400" w:lineRule="exact"/>
              <w:ind w:firstLine="420" w:firstLineChars="200"/>
              <w:rPr>
                <w:rFonts w:ascii="宋体" w:hAnsi="宋体" w:eastAsia="宋体" w:cs="Times New Roman"/>
                <w:color w:val="auto"/>
                <w:kern w:val="0"/>
                <w:szCs w:val="21"/>
                <w:highlight w:val="none"/>
              </w:rPr>
            </w:pPr>
          </w:p>
        </w:tc>
      </w:tr>
      <w:tr w14:paraId="428D89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752" w:type="dxa"/>
            <w:vMerge w:val="continue"/>
            <w:noWrap w:val="0"/>
            <w:vAlign w:val="center"/>
          </w:tcPr>
          <w:p w14:paraId="2F66BBDD">
            <w:pPr>
              <w:spacing w:line="400" w:lineRule="exact"/>
              <w:jc w:val="center"/>
              <w:rPr>
                <w:rFonts w:ascii="宋体" w:hAnsi="宋体" w:eastAsia="宋体" w:cs="Times New Roman"/>
                <w:color w:val="auto"/>
                <w:highlight w:val="none"/>
              </w:rPr>
            </w:pPr>
          </w:p>
        </w:tc>
        <w:tc>
          <w:tcPr>
            <w:tcW w:w="1375" w:type="dxa"/>
            <w:gridSpan w:val="2"/>
            <w:vMerge w:val="continue"/>
            <w:shd w:val="clear" w:color="auto" w:fill="auto"/>
            <w:noWrap w:val="0"/>
            <w:vAlign w:val="center"/>
          </w:tcPr>
          <w:p w14:paraId="4EF1C4B1">
            <w:pPr>
              <w:spacing w:line="400" w:lineRule="exact"/>
              <w:jc w:val="center"/>
              <w:rPr>
                <w:rFonts w:hint="eastAsia" w:ascii="宋体" w:hAnsi="宋体" w:eastAsia="宋体" w:cs="Times New Roman"/>
                <w:color w:val="auto"/>
                <w:highlight w:val="none"/>
              </w:rPr>
            </w:pPr>
          </w:p>
        </w:tc>
        <w:tc>
          <w:tcPr>
            <w:tcW w:w="1849" w:type="dxa"/>
            <w:gridSpan w:val="2"/>
            <w:tcBorders>
              <w:bottom w:val="single" w:color="auto" w:sz="4" w:space="0"/>
            </w:tcBorders>
            <w:shd w:val="clear" w:color="auto" w:fill="auto"/>
            <w:noWrap w:val="0"/>
            <w:vAlign w:val="center"/>
          </w:tcPr>
          <w:p w14:paraId="091CD007">
            <w:pPr>
              <w:spacing w:before="1" w:line="216" w:lineRule="auto"/>
              <w:jc w:val="center"/>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发生因公患病、工伤或工亡后做好善后工作的措施</w:t>
            </w:r>
          </w:p>
          <w:p w14:paraId="3980290A">
            <w:pPr>
              <w:spacing w:before="1" w:line="216" w:lineRule="auto"/>
              <w:ind w:left="117" w:leftChars="0" w:firstLine="420" w:firstLineChars="200"/>
              <w:rPr>
                <w:rFonts w:hint="eastAsia" w:ascii="宋体" w:hAnsi="宋体" w:eastAsia="宋体" w:cs="Times New Roman"/>
                <w:color w:val="auto"/>
                <w:kern w:val="0"/>
                <w:sz w:val="21"/>
                <w:szCs w:val="24"/>
                <w:highlight w:val="none"/>
                <w:lang w:val="en-US" w:eastAsia="zh-CN" w:bidi="ar-SA"/>
              </w:rPr>
            </w:pPr>
          </w:p>
        </w:tc>
        <w:tc>
          <w:tcPr>
            <w:tcW w:w="5493" w:type="dxa"/>
            <w:vMerge w:val="continue"/>
            <w:shd w:val="clear" w:color="auto" w:fill="auto"/>
            <w:noWrap w:val="0"/>
            <w:vAlign w:val="center"/>
          </w:tcPr>
          <w:p w14:paraId="4523B72D">
            <w:pPr>
              <w:spacing w:line="400" w:lineRule="exact"/>
              <w:ind w:firstLine="420" w:firstLineChars="200"/>
              <w:rPr>
                <w:rFonts w:ascii="宋体" w:hAnsi="宋体" w:eastAsia="宋体" w:cs="Times New Roman"/>
                <w:color w:val="auto"/>
                <w:kern w:val="0"/>
                <w:szCs w:val="21"/>
                <w:highlight w:val="none"/>
              </w:rPr>
            </w:pPr>
          </w:p>
        </w:tc>
      </w:tr>
      <w:tr w14:paraId="6A888E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752" w:type="dxa"/>
            <w:vMerge w:val="continue"/>
            <w:noWrap w:val="0"/>
            <w:vAlign w:val="center"/>
          </w:tcPr>
          <w:p w14:paraId="66510318">
            <w:pPr>
              <w:spacing w:line="400" w:lineRule="exact"/>
              <w:jc w:val="center"/>
              <w:rPr>
                <w:rFonts w:ascii="宋体" w:hAnsi="宋体" w:eastAsia="宋体" w:cs="Times New Roman"/>
                <w:color w:val="auto"/>
                <w:highlight w:val="none"/>
              </w:rPr>
            </w:pPr>
          </w:p>
        </w:tc>
        <w:tc>
          <w:tcPr>
            <w:tcW w:w="1375" w:type="dxa"/>
            <w:gridSpan w:val="2"/>
            <w:vMerge w:val="continue"/>
            <w:shd w:val="clear" w:color="auto" w:fill="auto"/>
            <w:noWrap w:val="0"/>
            <w:vAlign w:val="center"/>
          </w:tcPr>
          <w:p w14:paraId="3E25F4D2">
            <w:pPr>
              <w:spacing w:line="400" w:lineRule="exact"/>
              <w:jc w:val="center"/>
              <w:rPr>
                <w:rFonts w:hint="eastAsia" w:ascii="宋体" w:hAnsi="宋体" w:eastAsia="宋体" w:cs="Times New Roman"/>
                <w:color w:val="auto"/>
                <w:highlight w:val="none"/>
              </w:rPr>
            </w:pPr>
          </w:p>
        </w:tc>
        <w:tc>
          <w:tcPr>
            <w:tcW w:w="1849" w:type="dxa"/>
            <w:gridSpan w:val="2"/>
            <w:tcBorders>
              <w:bottom w:val="single" w:color="auto" w:sz="4" w:space="0"/>
            </w:tcBorders>
            <w:shd w:val="clear" w:color="auto" w:fill="auto"/>
            <w:noWrap w:val="0"/>
            <w:vAlign w:val="center"/>
          </w:tcPr>
          <w:p w14:paraId="70661723">
            <w:pPr>
              <w:spacing w:before="1" w:line="216" w:lineRule="auto"/>
              <w:ind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highlight w:val="none"/>
                <w:lang w:val="en-US" w:eastAsia="zh-CN"/>
              </w:rPr>
              <w:t>应急预案</w:t>
            </w:r>
          </w:p>
        </w:tc>
        <w:tc>
          <w:tcPr>
            <w:tcW w:w="5493" w:type="dxa"/>
            <w:vMerge w:val="continue"/>
            <w:shd w:val="clear" w:color="auto" w:fill="auto"/>
            <w:noWrap w:val="0"/>
            <w:vAlign w:val="center"/>
          </w:tcPr>
          <w:p w14:paraId="0AF262E4">
            <w:pPr>
              <w:spacing w:line="400" w:lineRule="exact"/>
              <w:ind w:firstLine="420" w:firstLineChars="200"/>
              <w:rPr>
                <w:rFonts w:ascii="宋体" w:hAnsi="宋体" w:eastAsia="宋体" w:cs="Times New Roman"/>
                <w:color w:val="auto"/>
                <w:kern w:val="0"/>
                <w:szCs w:val="21"/>
                <w:highlight w:val="none"/>
              </w:rPr>
            </w:pPr>
          </w:p>
        </w:tc>
      </w:tr>
      <w:tr w14:paraId="424C01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52" w:type="dxa"/>
            <w:noWrap w:val="0"/>
            <w:vAlign w:val="center"/>
          </w:tcPr>
          <w:p w14:paraId="5363A41A">
            <w:pPr>
              <w:spacing w:line="400" w:lineRule="exact"/>
              <w:jc w:val="center"/>
              <w:rPr>
                <w:rFonts w:ascii="宋体" w:hAnsi="宋体" w:eastAsia="宋体" w:cs="Times New Roman"/>
                <w:color w:val="auto"/>
                <w:kern w:val="2"/>
                <w:sz w:val="21"/>
                <w:szCs w:val="24"/>
                <w:highlight w:val="none"/>
                <w:lang w:val="en-US" w:eastAsia="zh-CN" w:bidi="ar-SA"/>
              </w:rPr>
            </w:pPr>
            <w:r>
              <w:rPr>
                <w:rFonts w:ascii="宋体" w:hAnsi="宋体" w:eastAsia="宋体" w:cs="Times New Roman"/>
                <w:color w:val="auto"/>
                <w:highlight w:val="none"/>
              </w:rPr>
              <w:t>3.2.1（</w:t>
            </w:r>
            <w:r>
              <w:rPr>
                <w:rFonts w:hint="eastAsia" w:ascii="宋体" w:hAnsi="宋体" w:eastAsia="宋体" w:cs="Times New Roman"/>
                <w:color w:val="auto"/>
                <w:highlight w:val="none"/>
              </w:rPr>
              <w:t>2</w:t>
            </w:r>
            <w:r>
              <w:rPr>
                <w:rFonts w:ascii="宋体" w:hAnsi="宋体" w:eastAsia="宋体" w:cs="Times New Roman"/>
                <w:color w:val="auto"/>
                <w:highlight w:val="none"/>
              </w:rPr>
              <w:t>）</w:t>
            </w:r>
          </w:p>
        </w:tc>
        <w:tc>
          <w:tcPr>
            <w:tcW w:w="1375" w:type="dxa"/>
            <w:gridSpan w:val="2"/>
            <w:shd w:val="clear" w:color="auto" w:fill="auto"/>
            <w:noWrap w:val="0"/>
            <w:vAlign w:val="center"/>
          </w:tcPr>
          <w:p w14:paraId="63CD4224">
            <w:pPr>
              <w:spacing w:line="400" w:lineRule="exa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lang w:val="en-US" w:eastAsia="zh-CN"/>
              </w:rPr>
              <w:t>商务部分得分（B）</w:t>
            </w:r>
          </w:p>
        </w:tc>
        <w:tc>
          <w:tcPr>
            <w:tcW w:w="1849" w:type="dxa"/>
            <w:gridSpan w:val="2"/>
            <w:shd w:val="clear" w:color="auto" w:fill="auto"/>
            <w:noWrap w:val="0"/>
            <w:vAlign w:val="center"/>
          </w:tcPr>
          <w:p w14:paraId="2529B44D">
            <w:pPr>
              <w:spacing w:line="400" w:lineRule="exa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lang w:val="en-US" w:eastAsia="zh-CN"/>
              </w:rPr>
              <w:t>业绩</w:t>
            </w:r>
          </w:p>
        </w:tc>
        <w:tc>
          <w:tcPr>
            <w:tcW w:w="5493" w:type="dxa"/>
            <w:shd w:val="clear" w:color="auto" w:fill="auto"/>
            <w:noWrap w:val="0"/>
            <w:vAlign w:val="center"/>
          </w:tcPr>
          <w:p w14:paraId="3BCC97F1">
            <w:pPr>
              <w:spacing w:line="400" w:lineRule="exact"/>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szCs w:val="21"/>
                <w:highlight w:val="none"/>
              </w:rPr>
              <w:t>商务</w:t>
            </w:r>
            <w:r>
              <w:rPr>
                <w:rFonts w:ascii="宋体" w:hAnsi="宋体" w:eastAsia="宋体" w:cs="Times New Roman"/>
                <w:color w:val="auto"/>
                <w:szCs w:val="21"/>
                <w:highlight w:val="none"/>
              </w:rPr>
              <w:t>部分</w:t>
            </w:r>
            <w:r>
              <w:rPr>
                <w:rFonts w:hint="eastAsia" w:ascii="宋体" w:hAnsi="宋体" w:eastAsia="宋体" w:cs="Times New Roman"/>
                <w:color w:val="auto"/>
                <w:szCs w:val="21"/>
                <w:highlight w:val="none"/>
              </w:rPr>
              <w:t>评分为客观评分，</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按第2.2.4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项</w:t>
            </w:r>
            <w:r>
              <w:rPr>
                <w:rFonts w:ascii="宋体" w:hAnsi="宋体" w:eastAsia="宋体" w:cs="Times New Roman"/>
                <w:color w:val="auto"/>
                <w:szCs w:val="21"/>
                <w:highlight w:val="none"/>
              </w:rPr>
              <w:t>各评审因素设定的分值</w:t>
            </w:r>
            <w:r>
              <w:rPr>
                <w:rFonts w:hint="eastAsia" w:ascii="宋体" w:hAnsi="宋体" w:eastAsia="宋体" w:cs="Times New Roman"/>
                <w:color w:val="auto"/>
                <w:szCs w:val="21"/>
                <w:highlight w:val="none"/>
              </w:rPr>
              <w:t>统一进行</w:t>
            </w:r>
            <w:r>
              <w:rPr>
                <w:rFonts w:ascii="宋体" w:hAnsi="宋体" w:eastAsia="宋体" w:cs="Times New Roman"/>
                <w:color w:val="auto"/>
                <w:szCs w:val="21"/>
                <w:highlight w:val="none"/>
              </w:rPr>
              <w:t>评分。</w:t>
            </w:r>
            <w:r>
              <w:rPr>
                <w:rFonts w:hint="eastAsia" w:ascii="宋体" w:hAnsi="宋体" w:eastAsia="宋体" w:cs="Times New Roman"/>
                <w:color w:val="auto"/>
                <w:szCs w:val="21"/>
                <w:highlight w:val="none"/>
              </w:rPr>
              <w:t>商务评分的最终结果</w:t>
            </w:r>
            <w:r>
              <w:rPr>
                <w:rFonts w:ascii="宋体" w:hAnsi="宋体" w:eastAsia="宋体" w:cs="Times New Roman"/>
                <w:color w:val="auto"/>
                <w:szCs w:val="21"/>
                <w:highlight w:val="none"/>
              </w:rPr>
              <w:t>取小数点后两位，第三位四舍五入。</w:t>
            </w:r>
          </w:p>
        </w:tc>
      </w:tr>
      <w:tr w14:paraId="31DEF6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52" w:type="dxa"/>
            <w:noWrap w:val="0"/>
            <w:vAlign w:val="center"/>
          </w:tcPr>
          <w:p w14:paraId="4992F929">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3.2.1（</w:t>
            </w:r>
            <w:r>
              <w:rPr>
                <w:rFonts w:hint="eastAsia" w:ascii="宋体" w:hAnsi="宋体" w:cs="Times New Roman"/>
                <w:color w:val="auto"/>
                <w:highlight w:val="none"/>
                <w:lang w:val="en-US" w:eastAsia="zh-CN"/>
              </w:rPr>
              <w:t>3</w:t>
            </w:r>
            <w:r>
              <w:rPr>
                <w:rFonts w:ascii="宋体" w:hAnsi="宋体" w:eastAsia="宋体" w:cs="Times New Roman"/>
                <w:color w:val="auto"/>
                <w:highlight w:val="none"/>
              </w:rPr>
              <w:t>）</w:t>
            </w:r>
          </w:p>
        </w:tc>
        <w:tc>
          <w:tcPr>
            <w:tcW w:w="1375" w:type="dxa"/>
            <w:gridSpan w:val="2"/>
            <w:shd w:val="clear" w:color="auto" w:fill="auto"/>
            <w:noWrap w:val="0"/>
            <w:vAlign w:val="center"/>
          </w:tcPr>
          <w:p w14:paraId="3C0616CD">
            <w:pPr>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lang w:eastAsia="zh-CN"/>
              </w:rPr>
              <w:t>竞标报价</w:t>
            </w:r>
            <w:r>
              <w:rPr>
                <w:rFonts w:ascii="宋体" w:hAnsi="宋体" w:eastAsia="宋体" w:cs="Times New Roman"/>
                <w:color w:val="auto"/>
                <w:kern w:val="0"/>
                <w:highlight w:val="none"/>
              </w:rPr>
              <w:t>得分</w:t>
            </w:r>
            <w:r>
              <w:rPr>
                <w:rFonts w:ascii="宋体" w:hAnsi="宋体" w:eastAsia="宋体" w:cs="Times New Roman"/>
                <w:color w:val="auto"/>
                <w:spacing w:val="-8"/>
                <w:highlight w:val="none"/>
              </w:rPr>
              <w:t>（</w:t>
            </w:r>
            <w:r>
              <w:rPr>
                <w:rFonts w:hint="eastAsia" w:ascii="宋体" w:hAnsi="宋体" w:cs="Times New Roman"/>
                <w:color w:val="auto"/>
                <w:spacing w:val="-8"/>
                <w:highlight w:val="none"/>
                <w:lang w:val="en-US" w:eastAsia="zh-CN"/>
              </w:rPr>
              <w:t>C</w:t>
            </w:r>
            <w:r>
              <w:rPr>
                <w:rFonts w:ascii="宋体" w:hAnsi="宋体" w:eastAsia="宋体" w:cs="Times New Roman"/>
                <w:color w:val="auto"/>
                <w:spacing w:val="-8"/>
                <w:highlight w:val="none"/>
              </w:rPr>
              <w:t>）</w:t>
            </w:r>
          </w:p>
        </w:tc>
        <w:tc>
          <w:tcPr>
            <w:tcW w:w="1849" w:type="dxa"/>
            <w:gridSpan w:val="2"/>
            <w:shd w:val="clear" w:color="auto" w:fill="auto"/>
            <w:noWrap w:val="0"/>
            <w:vAlign w:val="center"/>
          </w:tcPr>
          <w:p w14:paraId="464CC089">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投标总报价</w:t>
            </w:r>
          </w:p>
        </w:tc>
        <w:tc>
          <w:tcPr>
            <w:tcW w:w="5493" w:type="dxa"/>
            <w:shd w:val="clear" w:color="auto" w:fill="auto"/>
            <w:noWrap w:val="0"/>
            <w:vAlign w:val="center"/>
          </w:tcPr>
          <w:p w14:paraId="3B52ED6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设置</w:t>
            </w:r>
            <w:r>
              <w:rPr>
                <w:rFonts w:ascii="宋体" w:hAnsi="宋体" w:eastAsia="宋体" w:cs="Times New Roman"/>
                <w:color w:val="auto"/>
                <w:szCs w:val="21"/>
                <w:highlight w:val="none"/>
              </w:rPr>
              <w:t>允许偏差范围</w:t>
            </w:r>
            <w:r>
              <w:rPr>
                <w:rFonts w:hint="eastAsia" w:ascii="宋体" w:hAnsi="宋体" w:eastAsia="宋体" w:cs="Times New Roman"/>
                <w:color w:val="auto"/>
                <w:szCs w:val="21"/>
                <w:highlight w:val="none"/>
              </w:rPr>
              <w:t>的，</w:t>
            </w:r>
            <w:r>
              <w:rPr>
                <w:rFonts w:ascii="宋体" w:hAnsi="宋体" w:eastAsia="宋体" w:cs="Times New Roman"/>
                <w:color w:val="auto"/>
                <w:kern w:val="0"/>
                <w:highlight w:val="none"/>
              </w:rPr>
              <w:t>投标总报价的偏差在</w:t>
            </w:r>
            <w:r>
              <w:rPr>
                <w:rFonts w:ascii="宋体" w:hAnsi="宋体" w:eastAsia="宋体" w:cs="Times New Roman"/>
                <w:color w:val="auto"/>
                <w:szCs w:val="21"/>
                <w:highlight w:val="none"/>
              </w:rPr>
              <w:t>允许偏差范围外，</w:t>
            </w:r>
            <w:r>
              <w:rPr>
                <w:rFonts w:ascii="宋体" w:hAnsi="宋体" w:eastAsia="宋体" w:cs="Times New Roman"/>
                <w:bCs/>
                <w:color w:val="auto"/>
                <w:szCs w:val="28"/>
                <w:highlight w:val="none"/>
              </w:rPr>
              <w:t>得零分</w:t>
            </w:r>
            <w:r>
              <w:rPr>
                <w:rFonts w:ascii="宋体" w:hAnsi="宋体" w:eastAsia="宋体" w:cs="Times New Roman"/>
                <w:color w:val="auto"/>
                <w:kern w:val="0"/>
                <w:highlight w:val="none"/>
              </w:rPr>
              <w:t>；</w:t>
            </w:r>
            <w:r>
              <w:rPr>
                <w:rFonts w:hint="eastAsia" w:ascii="宋体" w:hAnsi="宋体" w:eastAsia="宋体" w:cs="Times New Roman"/>
                <w:color w:val="auto"/>
                <w:kern w:val="0"/>
                <w:highlight w:val="none"/>
              </w:rPr>
              <w:t>不设置允许偏差范围或</w:t>
            </w:r>
            <w:r>
              <w:rPr>
                <w:rFonts w:ascii="宋体" w:hAnsi="宋体" w:eastAsia="宋体" w:cs="Times New Roman"/>
                <w:color w:val="auto"/>
                <w:szCs w:val="21"/>
                <w:highlight w:val="none"/>
              </w:rPr>
              <w:t>投标总报价偏差在允许范围内的（含上、下限值），得</w:t>
            </w:r>
            <w:r>
              <w:rPr>
                <w:rFonts w:ascii="宋体" w:hAnsi="宋体" w:eastAsia="宋体" w:cs="Times New Roman"/>
                <w:bCs/>
                <w:color w:val="auto"/>
                <w:szCs w:val="28"/>
                <w:highlight w:val="none"/>
              </w:rPr>
              <w:t>本附表第2.2.1项规定分值的满分</w:t>
            </w:r>
            <w:r>
              <w:rPr>
                <w:rFonts w:ascii="宋体" w:hAnsi="宋体" w:eastAsia="宋体" w:cs="Times New Roman"/>
                <w:bCs/>
                <w:color w:val="auto"/>
                <w:szCs w:val="28"/>
                <w:highlight w:val="none"/>
                <w:u w:val="single"/>
              </w:rPr>
              <w:t xml:space="preserve"> </w:t>
            </w:r>
            <w:r>
              <w:rPr>
                <w:rFonts w:hint="eastAsia" w:ascii="宋体" w:hAnsi="宋体" w:cs="Times New Roman"/>
                <w:bCs/>
                <w:color w:val="auto"/>
                <w:szCs w:val="28"/>
                <w:highlight w:val="none"/>
                <w:u w:val="single"/>
                <w:lang w:val="en-US" w:eastAsia="zh-CN"/>
              </w:rPr>
              <w:t>50</w:t>
            </w:r>
            <w:r>
              <w:rPr>
                <w:rFonts w:ascii="宋体" w:hAnsi="宋体" w:eastAsia="宋体" w:cs="Times New Roman"/>
                <w:color w:val="auto"/>
                <w:szCs w:val="21"/>
                <w:highlight w:val="none"/>
              </w:rPr>
              <w:t>分。在此基础上，投标总报价与评标基准价相比，每增加1%扣</w:t>
            </w:r>
            <w:r>
              <w:rPr>
                <w:rFonts w:ascii="宋体" w:hAnsi="宋体" w:eastAsia="宋体" w:cs="Times New Roman"/>
                <w:color w:val="auto"/>
                <w:szCs w:val="21"/>
                <w:highlight w:val="none"/>
                <w:u w:val="single"/>
              </w:rPr>
              <w:t>　</w:t>
            </w:r>
            <w:r>
              <w:rPr>
                <w:rFonts w:hint="eastAsia" w:ascii="宋体" w:hAnsi="宋体" w:cs="Times New Roman"/>
                <w:color w:val="auto"/>
                <w:szCs w:val="21"/>
                <w:highlight w:val="none"/>
                <w:u w:val="single"/>
                <w:lang w:val="en-US" w:eastAsia="zh-CN"/>
              </w:rPr>
              <w:t>0.5</w:t>
            </w:r>
            <w:r>
              <w:rPr>
                <w:rFonts w:ascii="宋体" w:hAnsi="宋体" w:eastAsia="宋体" w:cs="Times New Roman"/>
                <w:color w:val="auto"/>
                <w:szCs w:val="21"/>
                <w:highlight w:val="none"/>
                <w:u w:val="single"/>
              </w:rPr>
              <w:t>　</w:t>
            </w:r>
            <w:r>
              <w:rPr>
                <w:rFonts w:ascii="宋体" w:hAnsi="宋体" w:eastAsia="宋体" w:cs="Times New Roman"/>
                <w:color w:val="auto"/>
                <w:szCs w:val="21"/>
                <w:highlight w:val="none"/>
              </w:rPr>
              <w:t>分，每减少1%扣</w:t>
            </w:r>
            <w:r>
              <w:rPr>
                <w:rFonts w:hint="eastAsia" w:ascii="宋体" w:hAnsi="宋体" w:eastAsia="宋体" w:cs="Times New Roman"/>
                <w:color w:val="auto"/>
                <w:szCs w:val="21"/>
                <w:highlight w:val="none"/>
                <w:u w:val="single"/>
                <w:lang w:val="en-US" w:eastAsia="zh-CN"/>
              </w:rPr>
              <w:t>0.</w:t>
            </w:r>
            <w:r>
              <w:rPr>
                <w:rFonts w:hint="eastAsia" w:ascii="宋体" w:hAnsi="宋体" w:cs="Times New Roman"/>
                <w:color w:val="auto"/>
                <w:szCs w:val="21"/>
                <w:highlight w:val="none"/>
                <w:u w:val="single"/>
                <w:lang w:val="en-US" w:eastAsia="zh-CN"/>
              </w:rPr>
              <w:t xml:space="preserve">25 </w:t>
            </w:r>
            <w:r>
              <w:rPr>
                <w:rFonts w:ascii="宋体" w:hAnsi="宋体" w:eastAsia="宋体" w:cs="Times New Roman"/>
                <w:color w:val="auto"/>
                <w:szCs w:val="21"/>
                <w:highlight w:val="none"/>
              </w:rPr>
              <w:t>分，扣完为止。</w:t>
            </w:r>
          </w:p>
          <w:p w14:paraId="2BDF1243">
            <w:pPr>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按插入法计算得分。</w:t>
            </w:r>
          </w:p>
          <w:p w14:paraId="7A3538CE">
            <w:pPr>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在偏差范围内，未参与评标基准价计算的</w:t>
            </w:r>
            <w:r>
              <w:rPr>
                <w:rFonts w:hint="eastAsia" w:ascii="宋体" w:hAnsi="宋体" w:eastAsia="宋体" w:cs="Times New Roman"/>
                <w:color w:val="auto"/>
                <w:szCs w:val="21"/>
                <w:highlight w:val="none"/>
                <w:lang w:eastAsia="zh-CN"/>
              </w:rPr>
              <w:t>竞标报价</w:t>
            </w:r>
            <w:r>
              <w:rPr>
                <w:rFonts w:ascii="宋体" w:hAnsi="宋体" w:eastAsia="宋体" w:cs="Times New Roman"/>
                <w:color w:val="auto"/>
                <w:szCs w:val="21"/>
                <w:highlight w:val="none"/>
              </w:rPr>
              <w:t>，仍应参加计算相应分值。</w:t>
            </w:r>
          </w:p>
          <w:p w14:paraId="44E6946E">
            <w:pPr>
              <w:spacing w:line="400" w:lineRule="exact"/>
              <w:ind w:firstLine="420" w:firstLineChars="200"/>
              <w:rPr>
                <w:rFonts w:ascii="宋体" w:hAnsi="宋体" w:eastAsia="宋体" w:cs="Times New Roman"/>
                <w:color w:val="auto"/>
                <w:kern w:val="0"/>
                <w:highlight w:val="none"/>
              </w:rPr>
            </w:pPr>
            <w:r>
              <w:rPr>
                <w:rFonts w:hint="eastAsia" w:ascii="宋体" w:hAnsi="宋体" w:eastAsia="宋体" w:cs="Times New Roman"/>
                <w:color w:val="auto"/>
                <w:kern w:val="0"/>
                <w:szCs w:val="21"/>
                <w:highlight w:val="none"/>
              </w:rPr>
              <w:t>投标总报价得分最终结果</w:t>
            </w:r>
            <w:r>
              <w:rPr>
                <w:rFonts w:ascii="宋体" w:hAnsi="宋体" w:eastAsia="宋体" w:cs="Times New Roman"/>
                <w:color w:val="auto"/>
                <w:kern w:val="0"/>
                <w:szCs w:val="21"/>
                <w:highlight w:val="none"/>
              </w:rPr>
              <w:t>取小数点后两位，第三位四舍五入。</w:t>
            </w:r>
          </w:p>
        </w:tc>
      </w:tr>
      <w:tr w14:paraId="24EE80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gridSpan w:val="3"/>
            <w:noWrap w:val="0"/>
            <w:vAlign w:val="center"/>
          </w:tcPr>
          <w:p w14:paraId="2B4FB950">
            <w:pPr>
              <w:spacing w:line="400" w:lineRule="exact"/>
              <w:ind w:firstLine="18" w:firstLineChars="9"/>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3.2.3</w:t>
            </w:r>
          </w:p>
        </w:tc>
        <w:tc>
          <w:tcPr>
            <w:tcW w:w="1849" w:type="dxa"/>
            <w:gridSpan w:val="2"/>
            <w:noWrap w:val="0"/>
            <w:vAlign w:val="center"/>
          </w:tcPr>
          <w:p w14:paraId="04006293">
            <w:pPr>
              <w:spacing w:line="400" w:lineRule="exact"/>
              <w:ind w:firstLine="18" w:firstLineChars="9"/>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竞标</w:t>
            </w:r>
            <w:r>
              <w:rPr>
                <w:rFonts w:ascii="宋体" w:hAnsi="宋体" w:eastAsia="宋体" w:cs="Times New Roman"/>
                <w:color w:val="auto"/>
                <w:szCs w:val="21"/>
                <w:highlight w:val="none"/>
              </w:rPr>
              <w:t>人得分</w:t>
            </w:r>
          </w:p>
        </w:tc>
        <w:tc>
          <w:tcPr>
            <w:tcW w:w="5493" w:type="dxa"/>
            <w:noWrap w:val="0"/>
            <w:vAlign w:val="center"/>
          </w:tcPr>
          <w:p w14:paraId="6358B667">
            <w:pPr>
              <w:spacing w:line="400" w:lineRule="exact"/>
              <w:jc w:val="center"/>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eastAsia="zh-CN"/>
              </w:rPr>
              <w:t>竞标</w:t>
            </w:r>
            <w:r>
              <w:rPr>
                <w:rFonts w:ascii="宋体" w:hAnsi="宋体" w:eastAsia="宋体" w:cs="Times New Roman"/>
                <w:color w:val="auto"/>
                <w:szCs w:val="21"/>
                <w:highlight w:val="none"/>
                <w:u w:val="single"/>
              </w:rPr>
              <w:t>人得分=A+B</w:t>
            </w:r>
            <w:r>
              <w:rPr>
                <w:rFonts w:hint="eastAsia" w:ascii="宋体" w:hAnsi="宋体" w:cs="Times New Roman"/>
                <w:color w:val="auto"/>
                <w:szCs w:val="21"/>
                <w:highlight w:val="none"/>
                <w:u w:val="single"/>
                <w:lang w:val="en-US" w:eastAsia="zh-CN"/>
              </w:rPr>
              <w:t>+C</w:t>
            </w:r>
          </w:p>
        </w:tc>
      </w:tr>
    </w:tbl>
    <w:p w14:paraId="5013C22D">
      <w:pPr>
        <w:keepNext/>
        <w:keepLines/>
        <w:widowControl w:val="0"/>
        <w:spacing w:before="0" w:after="0" w:line="360" w:lineRule="auto"/>
        <w:jc w:val="both"/>
        <w:outlineLvl w:val="1"/>
        <w:rPr>
          <w:rFonts w:ascii="宋体" w:hAnsi="宋体" w:eastAsia="宋体" w:cs="Times New Roman"/>
          <w:b w:val="0"/>
          <w:bCs/>
          <w:snapToGrid w:val="0"/>
          <w:color w:val="auto"/>
          <w:kern w:val="2"/>
          <w:sz w:val="32"/>
          <w:szCs w:val="32"/>
          <w:highlight w:val="none"/>
          <w:lang w:val="en-US" w:eastAsia="zh-CN" w:bidi="ar-SA"/>
        </w:rPr>
      </w:pPr>
      <w:bookmarkStart w:id="378" w:name="_Toc509218776"/>
      <w:r>
        <w:rPr>
          <w:rFonts w:ascii="宋体" w:hAnsi="宋体" w:eastAsia="宋体" w:cs="Times New Roman"/>
          <w:b w:val="0"/>
          <w:bCs/>
          <w:snapToGrid w:val="0"/>
          <w:color w:val="auto"/>
          <w:kern w:val="2"/>
          <w:sz w:val="32"/>
          <w:szCs w:val="32"/>
          <w:highlight w:val="none"/>
          <w:lang w:val="en-US" w:eastAsia="zh-CN" w:bidi="ar-SA"/>
        </w:rPr>
        <w:br w:type="page"/>
      </w:r>
      <w:bookmarkEnd w:id="378"/>
      <w:r>
        <w:rPr>
          <w:rFonts w:ascii="宋体" w:hAnsi="宋体" w:eastAsia="宋体" w:cs="Times New Roman"/>
          <w:b w:val="0"/>
          <w:bCs/>
          <w:snapToGrid w:val="0"/>
          <w:color w:val="auto"/>
          <w:kern w:val="2"/>
          <w:sz w:val="32"/>
          <w:szCs w:val="32"/>
          <w:highlight w:val="none"/>
          <w:lang w:val="en-US" w:eastAsia="zh-CN" w:bidi="ar-SA"/>
        </w:rPr>
        <w:t>1.  评标方法</w:t>
      </w:r>
    </w:p>
    <w:p w14:paraId="6D9F30C7">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本次评标采用综合评估法</w:t>
      </w:r>
      <w:r>
        <w:rPr>
          <w:rFonts w:ascii="宋体" w:hAnsi="宋体" w:eastAsia="宋体" w:cs="Times New Roman"/>
          <w:color w:val="auto"/>
          <w:spacing w:val="-47"/>
          <w:kern w:val="0"/>
          <w:szCs w:val="21"/>
          <w:highlight w:val="none"/>
        </w:rPr>
        <w:t>。</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 xml:space="preserve">按照本章第 </w:t>
      </w:r>
      <w:r>
        <w:rPr>
          <w:rFonts w:ascii="宋体" w:hAnsi="宋体" w:eastAsia="宋体" w:cs="Times New Roman"/>
          <w:color w:val="auto"/>
          <w:spacing w:val="1"/>
          <w:kern w:val="0"/>
          <w:szCs w:val="21"/>
          <w:highlight w:val="none"/>
        </w:rPr>
        <w:t>2</w:t>
      </w:r>
      <w:r>
        <w:rPr>
          <w:rFonts w:ascii="宋体" w:hAnsi="宋体" w:eastAsia="宋体" w:cs="Times New Roman"/>
          <w:color w:val="auto"/>
          <w:spacing w:val="-1"/>
          <w:kern w:val="0"/>
          <w:szCs w:val="21"/>
          <w:highlight w:val="none"/>
        </w:rPr>
        <w:t>.</w:t>
      </w:r>
      <w:r>
        <w:rPr>
          <w:rFonts w:ascii="宋体" w:hAnsi="宋体" w:eastAsia="宋体" w:cs="Times New Roman"/>
          <w:color w:val="auto"/>
          <w:kern w:val="0"/>
          <w:szCs w:val="21"/>
          <w:highlight w:val="none"/>
        </w:rPr>
        <w:t>2</w:t>
      </w:r>
      <w:r>
        <w:rPr>
          <w:rFonts w:ascii="宋体" w:hAnsi="宋体" w:eastAsia="宋体" w:cs="Times New Roman"/>
          <w:color w:val="auto"/>
          <w:spacing w:val="1"/>
          <w:kern w:val="0"/>
          <w:szCs w:val="21"/>
          <w:highlight w:val="none"/>
        </w:rPr>
        <w:t xml:space="preserve"> </w:t>
      </w:r>
      <w:r>
        <w:rPr>
          <w:rFonts w:ascii="宋体" w:hAnsi="宋体" w:eastAsia="宋体" w:cs="Times New Roman"/>
          <w:color w:val="auto"/>
          <w:kern w:val="0"/>
          <w:szCs w:val="21"/>
          <w:highlight w:val="none"/>
        </w:rPr>
        <w:t>款</w:t>
      </w:r>
      <w:r>
        <w:rPr>
          <w:rFonts w:ascii="宋体" w:hAnsi="宋体" w:eastAsia="宋体" w:cs="Times New Roman"/>
          <w:color w:val="auto"/>
          <w:spacing w:val="-1"/>
          <w:kern w:val="0"/>
          <w:szCs w:val="21"/>
          <w:highlight w:val="none"/>
        </w:rPr>
        <w:t>规</w:t>
      </w:r>
      <w:r>
        <w:rPr>
          <w:rFonts w:ascii="宋体" w:hAnsi="宋体" w:eastAsia="宋体" w:cs="Times New Roman"/>
          <w:color w:val="auto"/>
          <w:kern w:val="0"/>
          <w:szCs w:val="21"/>
          <w:highlight w:val="none"/>
        </w:rPr>
        <w:t>定的评分标准进行</w:t>
      </w:r>
      <w:r>
        <w:rPr>
          <w:rFonts w:hint="eastAsia" w:ascii="宋体" w:hAnsi="宋体" w:eastAsia="宋体" w:cs="Times New Roman"/>
          <w:color w:val="auto"/>
          <w:kern w:val="0"/>
          <w:szCs w:val="21"/>
          <w:highlight w:val="none"/>
          <w:lang w:eastAsia="zh-CN"/>
        </w:rPr>
        <w:t>评分</w:t>
      </w:r>
      <w:r>
        <w:rPr>
          <w:rFonts w:ascii="宋体" w:hAnsi="宋体" w:eastAsia="宋体" w:cs="Times New Roman"/>
          <w:color w:val="auto"/>
          <w:kern w:val="0"/>
          <w:szCs w:val="21"/>
          <w:highlight w:val="none"/>
        </w:rPr>
        <w:t>，按得分由高到低顺序推荐中标候选人</w:t>
      </w:r>
      <w:r>
        <w:rPr>
          <w:rFonts w:ascii="宋体" w:hAnsi="宋体" w:eastAsia="宋体" w:cs="Times New Roman"/>
          <w:color w:val="auto"/>
          <w:spacing w:val="-20"/>
          <w:kern w:val="0"/>
          <w:szCs w:val="21"/>
          <w:highlight w:val="none"/>
        </w:rPr>
        <w:t>，</w:t>
      </w:r>
      <w:r>
        <w:rPr>
          <w:rFonts w:ascii="宋体" w:hAnsi="宋体" w:eastAsia="宋体" w:cs="Times New Roman"/>
          <w:color w:val="auto"/>
          <w:kern w:val="0"/>
          <w:szCs w:val="21"/>
          <w:highlight w:val="none"/>
        </w:rPr>
        <w:t>或根据</w:t>
      </w:r>
      <w:r>
        <w:rPr>
          <w:rFonts w:hint="eastAsia" w:ascii="宋体" w:hAnsi="宋体" w:eastAsia="宋体" w:cs="Times New Roman"/>
          <w:color w:val="auto"/>
          <w:kern w:val="0"/>
          <w:szCs w:val="21"/>
          <w:highlight w:val="none"/>
          <w:lang w:eastAsia="zh-CN"/>
        </w:rPr>
        <w:t>比选人</w:t>
      </w:r>
      <w:r>
        <w:rPr>
          <w:rFonts w:ascii="宋体" w:hAnsi="宋体" w:eastAsia="宋体" w:cs="Times New Roman"/>
          <w:color w:val="auto"/>
          <w:kern w:val="0"/>
          <w:szCs w:val="21"/>
          <w:highlight w:val="none"/>
        </w:rPr>
        <w:t>授权直接确定中标人</w:t>
      </w:r>
      <w:r>
        <w:rPr>
          <w:rFonts w:hint="eastAsia" w:ascii="宋体" w:hAnsi="宋体" w:eastAsia="宋体" w:cs="Times New Roman"/>
          <w:color w:val="auto"/>
          <w:kern w:val="0"/>
          <w:szCs w:val="21"/>
          <w:highlight w:val="none"/>
        </w:rPr>
        <w:t>，若出现</w:t>
      </w:r>
      <w:r>
        <w:rPr>
          <w:rFonts w:hint="eastAsia" w:ascii="宋体" w:hAnsi="宋体" w:eastAsia="宋体" w:cs="Times New Roman"/>
          <w:color w:val="auto"/>
          <w:kern w:val="0"/>
          <w:szCs w:val="21"/>
          <w:highlight w:val="none"/>
          <w:lang w:eastAsia="zh-CN"/>
        </w:rPr>
        <w:t>竞标</w:t>
      </w:r>
      <w:r>
        <w:rPr>
          <w:rFonts w:hint="eastAsia"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lang w:eastAsia="zh-CN"/>
        </w:rPr>
        <w:t>竞标报价</w:t>
      </w:r>
      <w:r>
        <w:rPr>
          <w:rFonts w:hint="eastAsia" w:ascii="宋体" w:hAnsi="宋体" w:eastAsia="宋体" w:cs="Times New Roman"/>
          <w:color w:val="auto"/>
          <w:kern w:val="0"/>
          <w:szCs w:val="21"/>
          <w:highlight w:val="none"/>
        </w:rPr>
        <w:t>相同的，以评标办法前附表约定的原则确定排序</w:t>
      </w:r>
      <w:r>
        <w:rPr>
          <w:rFonts w:ascii="宋体" w:hAnsi="宋体" w:eastAsia="宋体" w:cs="Times New Roman"/>
          <w:color w:val="auto"/>
          <w:spacing w:val="-31"/>
          <w:kern w:val="0"/>
          <w:szCs w:val="21"/>
          <w:highlight w:val="none"/>
        </w:rPr>
        <w:t>。</w:t>
      </w:r>
    </w:p>
    <w:p w14:paraId="7884385C">
      <w:pPr>
        <w:keepNext/>
        <w:keepLines/>
        <w:widowControl w:val="0"/>
        <w:spacing w:before="0" w:after="0" w:line="360" w:lineRule="auto"/>
        <w:jc w:val="both"/>
        <w:outlineLvl w:val="1"/>
        <w:rPr>
          <w:rFonts w:ascii="宋体" w:hAnsi="宋体" w:eastAsia="宋体" w:cs="Times New Roman"/>
          <w:b w:val="0"/>
          <w:bCs/>
          <w:snapToGrid w:val="0"/>
          <w:color w:val="auto"/>
          <w:kern w:val="2"/>
          <w:sz w:val="32"/>
          <w:szCs w:val="32"/>
          <w:highlight w:val="none"/>
          <w:lang w:val="en-US" w:eastAsia="zh-CN" w:bidi="ar-SA"/>
        </w:rPr>
      </w:pPr>
      <w:bookmarkStart w:id="379" w:name="_Toc277082619"/>
      <w:bookmarkStart w:id="380" w:name="_Toc509218777"/>
      <w:bookmarkStart w:id="381" w:name="_Toc28040"/>
      <w:bookmarkStart w:id="382" w:name="_Toc287607813"/>
      <w:bookmarkStart w:id="383" w:name="_Toc287620752"/>
      <w:bookmarkStart w:id="384" w:name="_Toc7"/>
      <w:bookmarkStart w:id="385" w:name="_Toc224103385"/>
      <w:bookmarkStart w:id="386" w:name="_Toc200513199"/>
      <w:bookmarkStart w:id="387" w:name="_Toc362"/>
      <w:bookmarkStart w:id="388" w:name="_Toc430530501"/>
      <w:r>
        <w:rPr>
          <w:rFonts w:ascii="宋体" w:hAnsi="宋体" w:eastAsia="宋体" w:cs="Times New Roman"/>
          <w:b w:val="0"/>
          <w:bCs/>
          <w:snapToGrid w:val="0"/>
          <w:color w:val="auto"/>
          <w:kern w:val="2"/>
          <w:sz w:val="32"/>
          <w:szCs w:val="32"/>
          <w:highlight w:val="none"/>
          <w:lang w:val="en-US" w:eastAsia="zh-CN" w:bidi="ar-SA"/>
        </w:rPr>
        <w:t>2.  评审标准</w:t>
      </w:r>
      <w:bookmarkEnd w:id="379"/>
      <w:bookmarkEnd w:id="380"/>
      <w:bookmarkEnd w:id="381"/>
      <w:bookmarkEnd w:id="382"/>
      <w:bookmarkEnd w:id="383"/>
      <w:bookmarkEnd w:id="384"/>
      <w:bookmarkEnd w:id="385"/>
      <w:bookmarkEnd w:id="386"/>
      <w:bookmarkEnd w:id="387"/>
      <w:bookmarkEnd w:id="388"/>
    </w:p>
    <w:p w14:paraId="2448A828">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389" w:name="_Toc23562"/>
      <w:bookmarkStart w:id="390" w:name="_Toc200513200"/>
      <w:bookmarkStart w:id="391" w:name="_Toc277082620"/>
      <w:bookmarkStart w:id="392" w:name="_Toc509218778"/>
      <w:bookmarkStart w:id="393" w:name="_Toc430530502"/>
      <w:bookmarkStart w:id="394" w:name="_Toc224103386"/>
      <w:bookmarkStart w:id="395" w:name="_Toc14911"/>
      <w:bookmarkStart w:id="396" w:name="_Toc2588"/>
      <w:bookmarkStart w:id="397" w:name="_Toc287607814"/>
      <w:bookmarkStart w:id="398" w:name="_Toc287620753"/>
      <w:r>
        <w:rPr>
          <w:rFonts w:ascii="宋体" w:hAnsi="宋体" w:eastAsia="宋体" w:cs="Times New Roman"/>
          <w:b w:val="0"/>
          <w:bCs/>
          <w:snapToGrid w:val="0"/>
          <w:color w:val="auto"/>
          <w:kern w:val="2"/>
          <w:sz w:val="24"/>
          <w:szCs w:val="24"/>
          <w:highlight w:val="none"/>
          <w:lang w:val="en-US" w:eastAsia="zh-CN" w:bidi="ar-SA"/>
        </w:rPr>
        <w:t>2.1  初步评审标准</w:t>
      </w:r>
      <w:bookmarkEnd w:id="389"/>
      <w:bookmarkEnd w:id="390"/>
      <w:bookmarkEnd w:id="391"/>
      <w:bookmarkEnd w:id="392"/>
      <w:bookmarkEnd w:id="393"/>
      <w:bookmarkEnd w:id="394"/>
      <w:bookmarkEnd w:id="395"/>
      <w:bookmarkEnd w:id="396"/>
      <w:bookmarkEnd w:id="397"/>
      <w:bookmarkEnd w:id="398"/>
    </w:p>
    <w:p w14:paraId="0E675AE9">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2.1.</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 xml:space="preserve">  资格评审标准：见评标办法前附表。</w:t>
      </w:r>
    </w:p>
    <w:p w14:paraId="043DA429">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2.1.</w:t>
      </w: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 xml:space="preserve">  形式评审标准：见评标办法前附表。</w:t>
      </w:r>
    </w:p>
    <w:p w14:paraId="4D14FE18">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2.1.3  响应性评审标准：见评标办法前附表。</w:t>
      </w:r>
    </w:p>
    <w:p w14:paraId="244FC3B1">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399" w:name="_Toc16859"/>
      <w:bookmarkStart w:id="400" w:name="_Toc430530503"/>
      <w:bookmarkStart w:id="401" w:name="_Toc287607815"/>
      <w:bookmarkStart w:id="402" w:name="_Toc200513201"/>
      <w:bookmarkStart w:id="403" w:name="_Toc2"/>
      <w:bookmarkStart w:id="404" w:name="_Toc277082621"/>
      <w:bookmarkStart w:id="405" w:name="_Toc224103387"/>
      <w:bookmarkStart w:id="406" w:name="_Toc509218779"/>
      <w:bookmarkStart w:id="407" w:name="_Toc17923"/>
      <w:bookmarkStart w:id="408" w:name="_Toc287620754"/>
      <w:r>
        <w:rPr>
          <w:rFonts w:ascii="宋体" w:hAnsi="宋体" w:eastAsia="宋体" w:cs="Times New Roman"/>
          <w:b w:val="0"/>
          <w:bCs/>
          <w:snapToGrid w:val="0"/>
          <w:color w:val="auto"/>
          <w:kern w:val="2"/>
          <w:sz w:val="24"/>
          <w:szCs w:val="24"/>
          <w:highlight w:val="none"/>
          <w:lang w:val="en-US" w:eastAsia="zh-CN" w:bidi="ar-SA"/>
        </w:rPr>
        <w:t>2.2  分值构成与评分标准</w:t>
      </w:r>
      <w:bookmarkEnd w:id="399"/>
      <w:bookmarkEnd w:id="400"/>
      <w:bookmarkEnd w:id="401"/>
      <w:bookmarkEnd w:id="402"/>
      <w:bookmarkEnd w:id="403"/>
      <w:bookmarkEnd w:id="404"/>
      <w:bookmarkEnd w:id="405"/>
      <w:bookmarkEnd w:id="406"/>
      <w:bookmarkEnd w:id="407"/>
      <w:bookmarkEnd w:id="408"/>
    </w:p>
    <w:p w14:paraId="4FC578F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2.2.1  分值构成</w:t>
      </w:r>
    </w:p>
    <w:p w14:paraId="0E43EAB0">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spacing w:val="1"/>
          <w:kern w:val="0"/>
          <w:szCs w:val="21"/>
          <w:highlight w:val="none"/>
        </w:rPr>
        <w:t>1</w:t>
      </w:r>
      <w:r>
        <w:rPr>
          <w:rFonts w:ascii="宋体" w:hAnsi="宋体" w:eastAsia="宋体" w:cs="Times New Roman"/>
          <w:color w:val="auto"/>
          <w:kern w:val="0"/>
          <w:szCs w:val="21"/>
          <w:highlight w:val="none"/>
        </w:rPr>
        <w:t>）技术</w:t>
      </w:r>
      <w:r>
        <w:rPr>
          <w:rFonts w:hint="eastAsia" w:ascii="宋体" w:hAnsi="宋体" w:eastAsia="宋体" w:cs="Times New Roman"/>
          <w:color w:val="auto"/>
          <w:kern w:val="0"/>
          <w:szCs w:val="21"/>
          <w:highlight w:val="none"/>
        </w:rPr>
        <w:t>部分</w:t>
      </w:r>
      <w:r>
        <w:rPr>
          <w:rFonts w:ascii="宋体" w:hAnsi="宋体" w:eastAsia="宋体" w:cs="Times New Roman"/>
          <w:color w:val="auto"/>
          <w:kern w:val="0"/>
          <w:szCs w:val="21"/>
          <w:highlight w:val="none"/>
        </w:rPr>
        <w:t>：见评标办法前附表</w:t>
      </w:r>
      <w:r>
        <w:rPr>
          <w:rFonts w:hint="eastAsia" w:ascii="宋体" w:hAnsi="宋体" w:eastAsia="宋体" w:cs="Times New Roman"/>
          <w:color w:val="auto"/>
          <w:kern w:val="0"/>
          <w:szCs w:val="21"/>
          <w:highlight w:val="none"/>
        </w:rPr>
        <w:t>；</w:t>
      </w:r>
    </w:p>
    <w:p w14:paraId="19DE21AF">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spacing w:val="1"/>
          <w:kern w:val="0"/>
          <w:szCs w:val="21"/>
          <w:highlight w:val="none"/>
        </w:rPr>
        <w:t>2</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商务部分</w:t>
      </w:r>
      <w:r>
        <w:rPr>
          <w:rFonts w:ascii="宋体" w:hAnsi="宋体" w:eastAsia="宋体" w:cs="Times New Roman"/>
          <w:color w:val="auto"/>
          <w:kern w:val="0"/>
          <w:szCs w:val="21"/>
          <w:highlight w:val="none"/>
        </w:rPr>
        <w:t>：见评标办法前附表</w:t>
      </w:r>
      <w:r>
        <w:rPr>
          <w:rFonts w:hint="eastAsia" w:ascii="宋体" w:hAnsi="宋体" w:eastAsia="宋体" w:cs="Times New Roman"/>
          <w:color w:val="auto"/>
          <w:kern w:val="0"/>
          <w:szCs w:val="21"/>
          <w:highlight w:val="none"/>
        </w:rPr>
        <w:t>；</w:t>
      </w:r>
    </w:p>
    <w:p w14:paraId="181F50E5">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spacing w:val="1"/>
          <w:kern w:val="0"/>
          <w:szCs w:val="21"/>
          <w:highlight w:val="none"/>
          <w:lang w:val="en-US" w:eastAsia="zh-CN"/>
        </w:rPr>
        <w:t>3</w:t>
      </w:r>
      <w:r>
        <w:rPr>
          <w:rFonts w:ascii="宋体" w:hAnsi="宋体" w:eastAsia="宋体" w:cs="Times New Roman"/>
          <w:color w:val="auto"/>
          <w:kern w:val="0"/>
          <w:szCs w:val="21"/>
          <w:highlight w:val="none"/>
        </w:rPr>
        <w:t>）投标</w:t>
      </w:r>
      <w:r>
        <w:rPr>
          <w:rFonts w:hint="eastAsia" w:ascii="宋体" w:hAnsi="宋体" w:eastAsia="宋体" w:cs="Times New Roman"/>
          <w:color w:val="auto"/>
          <w:kern w:val="0"/>
          <w:szCs w:val="21"/>
          <w:highlight w:val="none"/>
        </w:rPr>
        <w:t>总</w:t>
      </w:r>
      <w:r>
        <w:rPr>
          <w:rFonts w:ascii="宋体" w:hAnsi="宋体" w:eastAsia="宋体" w:cs="Times New Roman"/>
          <w:color w:val="auto"/>
          <w:spacing w:val="-1"/>
          <w:kern w:val="0"/>
          <w:szCs w:val="21"/>
          <w:highlight w:val="none"/>
        </w:rPr>
        <w:t>报</w:t>
      </w:r>
      <w:r>
        <w:rPr>
          <w:rFonts w:ascii="宋体" w:hAnsi="宋体" w:eastAsia="宋体" w:cs="Times New Roman"/>
          <w:color w:val="auto"/>
          <w:kern w:val="0"/>
          <w:szCs w:val="21"/>
          <w:highlight w:val="none"/>
        </w:rPr>
        <w:t>价：见评标办法前附表</w:t>
      </w:r>
      <w:r>
        <w:rPr>
          <w:rFonts w:hint="eastAsia" w:ascii="宋体" w:hAnsi="宋体" w:eastAsia="宋体" w:cs="Times New Roman"/>
          <w:color w:val="auto"/>
          <w:kern w:val="0"/>
          <w:szCs w:val="21"/>
          <w:highlight w:val="none"/>
        </w:rPr>
        <w:t>。</w:t>
      </w:r>
    </w:p>
    <w:p w14:paraId="69E8A378">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2.2.2  </w:t>
      </w:r>
      <w:r>
        <w:rPr>
          <w:rFonts w:hint="eastAsia" w:ascii="宋体" w:hAnsi="宋体" w:eastAsia="宋体" w:cs="Times New Roman"/>
          <w:color w:val="auto"/>
          <w:kern w:val="0"/>
          <w:szCs w:val="21"/>
          <w:highlight w:val="none"/>
        </w:rPr>
        <w:t>评分标准</w:t>
      </w:r>
    </w:p>
    <w:p w14:paraId="0FC76B48">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技术</w:t>
      </w:r>
      <w:r>
        <w:rPr>
          <w:rFonts w:hint="eastAsia" w:ascii="宋体" w:hAnsi="宋体" w:eastAsia="宋体" w:cs="Times New Roman"/>
          <w:color w:val="auto"/>
          <w:kern w:val="0"/>
          <w:szCs w:val="21"/>
          <w:highlight w:val="none"/>
        </w:rPr>
        <w:t>部分</w:t>
      </w:r>
      <w:r>
        <w:rPr>
          <w:rFonts w:ascii="宋体" w:hAnsi="宋体" w:eastAsia="宋体" w:cs="Times New Roman"/>
          <w:color w:val="auto"/>
          <w:kern w:val="0"/>
          <w:szCs w:val="21"/>
          <w:highlight w:val="none"/>
        </w:rPr>
        <w:t>评分标准：见评标办法前附表。</w:t>
      </w:r>
    </w:p>
    <w:p w14:paraId="041B2F62">
      <w:pPr>
        <w:autoSpaceDE w:val="0"/>
        <w:autoSpaceDN w:val="0"/>
        <w:adjustRightInd w:val="0"/>
        <w:snapToGrid w:val="0"/>
        <w:spacing w:line="360" w:lineRule="auto"/>
        <w:ind w:firstLine="420" w:firstLineChars="200"/>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rPr>
        <w:t xml:space="preserve">2.2.3  </w:t>
      </w:r>
      <w:r>
        <w:rPr>
          <w:rFonts w:ascii="宋体" w:hAnsi="宋体" w:eastAsia="宋体" w:cs="Times New Roman"/>
          <w:color w:val="auto"/>
          <w:kern w:val="0"/>
          <w:szCs w:val="21"/>
          <w:highlight w:val="none"/>
        </w:rPr>
        <w:t>评标基准价计算</w:t>
      </w:r>
      <w:r>
        <w:rPr>
          <w:rFonts w:hint="eastAsia" w:ascii="宋体" w:hAnsi="宋体" w:cs="Times New Roman"/>
          <w:color w:val="auto"/>
          <w:kern w:val="0"/>
          <w:szCs w:val="21"/>
          <w:highlight w:val="none"/>
          <w:lang w:val="en-US" w:eastAsia="zh-CN"/>
        </w:rPr>
        <w:tab/>
      </w:r>
      <w:r>
        <w:rPr>
          <w:rFonts w:hint="eastAsia" w:ascii="宋体" w:hAnsi="宋体" w:cs="Times New Roman"/>
          <w:color w:val="auto"/>
          <w:kern w:val="0"/>
          <w:szCs w:val="21"/>
          <w:highlight w:val="none"/>
          <w:lang w:val="en-US" w:eastAsia="zh-CN"/>
        </w:rPr>
        <w:tab/>
      </w:r>
    </w:p>
    <w:p w14:paraId="70220B69">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评标基准价计算方法：见评标办法前附表。</w:t>
      </w:r>
    </w:p>
    <w:p w14:paraId="26D37451">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w:t>
      </w: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的偏差率计算</w:t>
      </w:r>
      <w:r>
        <w:rPr>
          <w:rFonts w:hint="eastAsia" w:ascii="宋体" w:hAnsi="宋体" w:eastAsia="宋体" w:cs="Times New Roman"/>
          <w:color w:val="auto"/>
          <w:kern w:val="0"/>
          <w:szCs w:val="21"/>
          <w:highlight w:val="none"/>
        </w:rPr>
        <w:t>和允许偏差范围</w:t>
      </w:r>
    </w:p>
    <w:p w14:paraId="5B6E61C3">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的偏差率计算公式：见评标办法前附表</w:t>
      </w:r>
      <w:r>
        <w:rPr>
          <w:rFonts w:hint="eastAsia" w:ascii="宋体" w:hAnsi="宋体" w:eastAsia="宋体" w:cs="Times New Roman"/>
          <w:color w:val="auto"/>
          <w:kern w:val="0"/>
          <w:szCs w:val="21"/>
          <w:highlight w:val="none"/>
        </w:rPr>
        <w:t>；</w:t>
      </w:r>
    </w:p>
    <w:p w14:paraId="44B55267">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lang w:eastAsia="zh-CN"/>
        </w:rPr>
        <w:t>竞标报价</w:t>
      </w:r>
      <w:r>
        <w:rPr>
          <w:rFonts w:hint="eastAsia" w:ascii="宋体" w:hAnsi="宋体" w:eastAsia="宋体" w:cs="Times New Roman"/>
          <w:color w:val="auto"/>
          <w:kern w:val="0"/>
          <w:szCs w:val="21"/>
          <w:highlight w:val="none"/>
        </w:rPr>
        <w:t>的允许偏差范围</w:t>
      </w:r>
      <w:r>
        <w:rPr>
          <w:rFonts w:ascii="宋体" w:hAnsi="宋体" w:eastAsia="宋体" w:cs="Times New Roman"/>
          <w:color w:val="auto"/>
          <w:kern w:val="0"/>
          <w:szCs w:val="21"/>
          <w:highlight w:val="none"/>
        </w:rPr>
        <w:t>：见评标办法前附表</w:t>
      </w:r>
      <w:r>
        <w:rPr>
          <w:rFonts w:hint="eastAsia" w:ascii="宋体" w:hAnsi="宋体" w:eastAsia="宋体" w:cs="Times New Roman"/>
          <w:color w:val="auto"/>
          <w:kern w:val="0"/>
          <w:szCs w:val="21"/>
          <w:highlight w:val="none"/>
        </w:rPr>
        <w:t>。</w:t>
      </w:r>
    </w:p>
    <w:p w14:paraId="57792E28">
      <w:pPr>
        <w:keepNext/>
        <w:keepLines/>
        <w:widowControl w:val="0"/>
        <w:spacing w:before="0" w:after="0" w:line="360" w:lineRule="auto"/>
        <w:jc w:val="both"/>
        <w:outlineLvl w:val="1"/>
        <w:rPr>
          <w:rFonts w:ascii="宋体" w:hAnsi="宋体" w:eastAsia="宋体" w:cs="Times New Roman"/>
          <w:b w:val="0"/>
          <w:bCs/>
          <w:snapToGrid w:val="0"/>
          <w:color w:val="auto"/>
          <w:kern w:val="2"/>
          <w:sz w:val="32"/>
          <w:szCs w:val="32"/>
          <w:highlight w:val="none"/>
          <w:lang w:val="en-US" w:eastAsia="zh-CN" w:bidi="ar-SA"/>
        </w:rPr>
      </w:pPr>
      <w:bookmarkStart w:id="409" w:name="_Toc277082622"/>
      <w:bookmarkStart w:id="410" w:name="_Toc287620755"/>
      <w:bookmarkStart w:id="411" w:name="_Toc8138"/>
      <w:bookmarkStart w:id="412" w:name="_Toc23399"/>
      <w:bookmarkStart w:id="413" w:name="_Toc200513202"/>
      <w:bookmarkStart w:id="414" w:name="_Toc509218780"/>
      <w:bookmarkStart w:id="415" w:name="_Toc224103388"/>
      <w:bookmarkStart w:id="416" w:name="_Toc287607816"/>
      <w:bookmarkStart w:id="417" w:name="_Toc430530504"/>
      <w:bookmarkStart w:id="418" w:name="_Toc4568"/>
      <w:r>
        <w:rPr>
          <w:rFonts w:ascii="宋体" w:hAnsi="宋体" w:eastAsia="宋体" w:cs="Times New Roman"/>
          <w:b w:val="0"/>
          <w:bCs/>
          <w:snapToGrid w:val="0"/>
          <w:color w:val="auto"/>
          <w:kern w:val="2"/>
          <w:sz w:val="32"/>
          <w:szCs w:val="32"/>
          <w:highlight w:val="none"/>
          <w:lang w:val="en-US" w:eastAsia="zh-CN" w:bidi="ar-SA"/>
        </w:rPr>
        <w:t>3.  评标程序</w:t>
      </w:r>
      <w:bookmarkEnd w:id="409"/>
      <w:bookmarkEnd w:id="410"/>
      <w:bookmarkEnd w:id="411"/>
      <w:bookmarkEnd w:id="412"/>
      <w:bookmarkEnd w:id="413"/>
      <w:bookmarkEnd w:id="414"/>
      <w:bookmarkEnd w:id="415"/>
      <w:bookmarkEnd w:id="416"/>
      <w:bookmarkEnd w:id="417"/>
      <w:bookmarkEnd w:id="418"/>
    </w:p>
    <w:p w14:paraId="62E958C2">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419" w:name="_Toc21102"/>
      <w:bookmarkStart w:id="420" w:name="_Toc287607817"/>
      <w:bookmarkStart w:id="421" w:name="_Toc430530505"/>
      <w:bookmarkStart w:id="422" w:name="_Toc287620756"/>
      <w:bookmarkStart w:id="423" w:name="_Toc2782"/>
      <w:bookmarkStart w:id="424" w:name="_Toc224103389"/>
      <w:bookmarkStart w:id="425" w:name="_Toc277082623"/>
      <w:bookmarkStart w:id="426" w:name="_Toc200513203"/>
      <w:bookmarkStart w:id="427" w:name="_Toc509218781"/>
      <w:bookmarkStart w:id="428" w:name="_Toc8458"/>
      <w:r>
        <w:rPr>
          <w:rFonts w:ascii="宋体" w:hAnsi="宋体" w:eastAsia="宋体" w:cs="Times New Roman"/>
          <w:b w:val="0"/>
          <w:bCs/>
          <w:snapToGrid w:val="0"/>
          <w:color w:val="auto"/>
          <w:kern w:val="2"/>
          <w:sz w:val="24"/>
          <w:szCs w:val="24"/>
          <w:highlight w:val="none"/>
          <w:lang w:val="en-US" w:eastAsia="zh-CN" w:bidi="ar-SA"/>
        </w:rPr>
        <w:t>3.1  初步评审</w:t>
      </w:r>
      <w:bookmarkEnd w:id="419"/>
      <w:bookmarkEnd w:id="420"/>
      <w:bookmarkEnd w:id="421"/>
      <w:bookmarkEnd w:id="422"/>
      <w:bookmarkEnd w:id="423"/>
      <w:bookmarkEnd w:id="424"/>
      <w:bookmarkEnd w:id="425"/>
      <w:bookmarkEnd w:id="426"/>
      <w:bookmarkEnd w:id="427"/>
      <w:bookmarkEnd w:id="428"/>
    </w:p>
    <w:p w14:paraId="0BA08DD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3.1.1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依据本章第 2.1 款规定的标准对</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进行初步评审。有一项不符合评审标准的，作否决投标处理。</w:t>
      </w:r>
    </w:p>
    <w:p w14:paraId="5C1EE048">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3.1.2  </w:t>
      </w:r>
      <w:r>
        <w:rPr>
          <w:rFonts w:hint="eastAsia" w:ascii="宋体" w:hAnsi="宋体" w:eastAsia="宋体" w:cs="Times New Roman"/>
          <w:color w:val="auto"/>
          <w:kern w:val="0"/>
          <w:szCs w:val="21"/>
          <w:highlight w:val="none"/>
          <w:lang w:eastAsia="zh-CN"/>
        </w:rPr>
        <w:t>竞标</w:t>
      </w:r>
      <w:r>
        <w:rPr>
          <w:rFonts w:ascii="宋体" w:hAnsi="宋体" w:eastAsia="宋体" w:cs="Times New Roman"/>
          <w:color w:val="auto"/>
          <w:kern w:val="0"/>
          <w:szCs w:val="21"/>
          <w:highlight w:val="none"/>
        </w:rPr>
        <w:t>人有以下情形之一的，其投标作否决投标处理：</w:t>
      </w:r>
    </w:p>
    <w:p w14:paraId="3A111C49">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ascii="宋体" w:hAnsi="宋体" w:eastAsia="宋体" w:cs="Times New Roman"/>
          <w:color w:val="auto"/>
          <w:spacing w:val="1"/>
          <w:kern w:val="0"/>
          <w:szCs w:val="21"/>
          <w:highlight w:val="none"/>
        </w:rPr>
        <w:t>1</w:t>
      </w:r>
      <w:r>
        <w:rPr>
          <w:rFonts w:ascii="宋体" w:hAnsi="宋体" w:eastAsia="宋体" w:cs="Times New Roman"/>
          <w:color w:val="auto"/>
          <w:kern w:val="0"/>
          <w:szCs w:val="21"/>
          <w:highlight w:val="none"/>
        </w:rPr>
        <w:t>）第二</w:t>
      </w:r>
      <w:r>
        <w:rPr>
          <w:rFonts w:ascii="宋体" w:hAnsi="宋体" w:eastAsia="宋体" w:cs="Times New Roman"/>
          <w:color w:val="auto"/>
          <w:spacing w:val="-1"/>
          <w:kern w:val="0"/>
          <w:szCs w:val="21"/>
          <w:highlight w:val="none"/>
        </w:rPr>
        <w:t>章</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竞标</w:t>
      </w:r>
      <w:r>
        <w:rPr>
          <w:rFonts w:ascii="宋体" w:hAnsi="宋体" w:eastAsia="宋体" w:cs="Times New Roman"/>
          <w:color w:val="auto"/>
          <w:kern w:val="0"/>
          <w:szCs w:val="21"/>
          <w:highlight w:val="none"/>
        </w:rPr>
        <w:t>人须知”第</w:t>
      </w:r>
      <w:r>
        <w:rPr>
          <w:rFonts w:ascii="宋体" w:hAnsi="宋体" w:eastAsia="宋体" w:cs="Times New Roman"/>
          <w:color w:val="auto"/>
          <w:spacing w:val="1"/>
          <w:kern w:val="0"/>
          <w:szCs w:val="21"/>
          <w:highlight w:val="none"/>
        </w:rPr>
        <w:t>1</w:t>
      </w:r>
      <w:r>
        <w:rPr>
          <w:rFonts w:ascii="宋体" w:hAnsi="宋体" w:eastAsia="宋体" w:cs="Times New Roman"/>
          <w:color w:val="auto"/>
          <w:spacing w:val="-1"/>
          <w:kern w:val="0"/>
          <w:szCs w:val="21"/>
          <w:highlight w:val="none"/>
        </w:rPr>
        <w:t>.</w:t>
      </w:r>
      <w:r>
        <w:rPr>
          <w:rFonts w:ascii="宋体" w:hAnsi="宋体" w:eastAsia="宋体" w:cs="Times New Roman"/>
          <w:color w:val="auto"/>
          <w:spacing w:val="1"/>
          <w:kern w:val="0"/>
          <w:szCs w:val="21"/>
          <w:highlight w:val="none"/>
        </w:rPr>
        <w:t>4</w:t>
      </w:r>
      <w:r>
        <w:rPr>
          <w:rFonts w:ascii="宋体" w:hAnsi="宋体" w:eastAsia="宋体" w:cs="Times New Roman"/>
          <w:color w:val="auto"/>
          <w:spacing w:val="-1"/>
          <w:kern w:val="0"/>
          <w:szCs w:val="21"/>
          <w:highlight w:val="none"/>
        </w:rPr>
        <w:t>.</w:t>
      </w:r>
      <w:r>
        <w:rPr>
          <w:rFonts w:ascii="宋体" w:hAnsi="宋体" w:eastAsia="宋体" w:cs="Times New Roman"/>
          <w:color w:val="auto"/>
          <w:kern w:val="0"/>
          <w:szCs w:val="21"/>
          <w:highlight w:val="none"/>
        </w:rPr>
        <w:t>3项规定的任何一种情形的；</w:t>
      </w:r>
    </w:p>
    <w:p w14:paraId="744CB5AE">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ascii="宋体" w:hAnsi="宋体" w:eastAsia="宋体" w:cs="Times New Roman"/>
          <w:color w:val="auto"/>
          <w:spacing w:val="1"/>
          <w:kern w:val="0"/>
          <w:szCs w:val="21"/>
          <w:highlight w:val="none"/>
        </w:rPr>
        <w:t>2</w:t>
      </w:r>
      <w:r>
        <w:rPr>
          <w:rFonts w:ascii="宋体" w:hAnsi="宋体" w:eastAsia="宋体" w:cs="Times New Roman"/>
          <w:color w:val="auto"/>
          <w:kern w:val="0"/>
          <w:szCs w:val="21"/>
          <w:highlight w:val="none"/>
        </w:rPr>
        <w:t>）</w:t>
      </w:r>
      <w:r>
        <w:rPr>
          <w:rFonts w:hint="eastAsia" w:ascii="宋体" w:hAnsi="宋体" w:eastAsia="宋体" w:cs="宋体"/>
          <w:color w:val="auto"/>
          <w:szCs w:val="21"/>
          <w:highlight w:val="none"/>
        </w:rPr>
        <w:t>本次投标有串通投标、弄虚作假等其他违反招投标相关法律、法规行为的</w:t>
      </w:r>
      <w:r>
        <w:rPr>
          <w:rFonts w:ascii="宋体" w:hAnsi="宋体" w:eastAsia="宋体" w:cs="Times New Roman"/>
          <w:color w:val="auto"/>
          <w:kern w:val="0"/>
          <w:szCs w:val="21"/>
          <w:highlight w:val="none"/>
        </w:rPr>
        <w:t>；</w:t>
      </w:r>
    </w:p>
    <w:p w14:paraId="44012434">
      <w:pPr>
        <w:autoSpaceDE w:val="0"/>
        <w:autoSpaceDN w:val="0"/>
        <w:adjustRightInd w:val="0"/>
        <w:snapToGrid w:val="0"/>
        <w:spacing w:line="360" w:lineRule="auto"/>
        <w:ind w:firstLine="422" w:firstLineChars="200"/>
        <w:rPr>
          <w:rFonts w:hint="eastAsia"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弄虚作假行为的界定：</w:t>
      </w:r>
    </w:p>
    <w:p w14:paraId="3C6A0CE3">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（1）利用伪造、变造或者无效的资质证书、印鉴参加投标的；</w:t>
      </w:r>
    </w:p>
    <w:p w14:paraId="43F980CD">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（2）伪造或者虚报业绩的；</w:t>
      </w:r>
    </w:p>
    <w:p w14:paraId="570FF0D0">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（3）伪造主要技术人员简历、劳动关系证明；或者中标后不按承诺配备项目负责人或者主要技术人员的；</w:t>
      </w:r>
    </w:p>
    <w:p w14:paraId="57ADF498">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（4）伪造或者虚报财务状况的；</w:t>
      </w:r>
    </w:p>
    <w:p w14:paraId="38A54985">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（5）提交虚假的信用状况信息的；</w:t>
      </w:r>
    </w:p>
    <w:p w14:paraId="7A31F12E">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（6）隐瞒招标文件要求提供的信息，或者提供虚假、引人误解的其他信息；</w:t>
      </w:r>
    </w:p>
    <w:p w14:paraId="5B352C4F">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（7）法律、法规、规章规定的其他弄虚作假行为。</w:t>
      </w:r>
    </w:p>
    <w:p w14:paraId="39629F45">
      <w:pPr>
        <w:widowControl w:val="0"/>
        <w:spacing w:after="120"/>
        <w:ind w:firstLine="420"/>
        <w:jc w:val="both"/>
        <w:rPr>
          <w:rFonts w:hint="eastAsia" w:ascii="宋体" w:hAnsi="宋体" w:eastAsia="宋体" w:cs="Times New Roman"/>
          <w:b/>
          <w:bCs/>
          <w:color w:val="auto"/>
          <w:kern w:val="0"/>
          <w:sz w:val="21"/>
          <w:szCs w:val="21"/>
          <w:highlight w:val="none"/>
          <w:lang w:val="en-US" w:eastAsia="zh-CN" w:bidi="ar-SA"/>
        </w:rPr>
      </w:pPr>
      <w:r>
        <w:rPr>
          <w:rFonts w:hint="eastAsia" w:ascii="宋体" w:hAnsi="宋体" w:eastAsia="宋体" w:cs="Times New Roman"/>
          <w:b/>
          <w:bCs/>
          <w:color w:val="auto"/>
          <w:kern w:val="0"/>
          <w:sz w:val="21"/>
          <w:szCs w:val="21"/>
          <w:highlight w:val="none"/>
          <w:lang w:val="en-US" w:eastAsia="zh-CN" w:bidi="ar-SA"/>
        </w:rPr>
        <w:t>围标串标的认定：</w:t>
      </w:r>
    </w:p>
    <w:p w14:paraId="3B4D8FF3">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有下列情形之一的，经</w:t>
      </w:r>
      <w:r>
        <w:rPr>
          <w:rFonts w:hint="eastAsia" w:ascii="宋体" w:hAnsi="宋体" w:eastAsia="宋体" w:cs="宋体"/>
          <w:color w:val="auto"/>
          <w:kern w:val="0"/>
          <w:szCs w:val="21"/>
          <w:highlight w:val="none"/>
          <w:lang w:eastAsia="zh-CN"/>
        </w:rPr>
        <w:t>评审小组</w:t>
      </w:r>
      <w:r>
        <w:rPr>
          <w:rFonts w:hint="eastAsia" w:ascii="宋体" w:hAnsi="宋体" w:eastAsia="宋体" w:cs="宋体"/>
          <w:color w:val="auto"/>
          <w:kern w:val="0"/>
          <w:szCs w:val="21"/>
          <w:highlight w:val="none"/>
        </w:rPr>
        <w:t>集体认定为串通投标后，作废标处理。</w:t>
      </w:r>
    </w:p>
    <w:p w14:paraId="70B231A3">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内容存在非正常一致有5处及以上的；</w:t>
      </w:r>
    </w:p>
    <w:p w14:paraId="153A61E9">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错漏之处一致有3处及以上的；</w:t>
      </w:r>
    </w:p>
    <w:p w14:paraId="1FDE780B">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错漏之处一致有1处且非正常处3处及以上的；</w:t>
      </w:r>
    </w:p>
    <w:p w14:paraId="0C28A937">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竞标报价</w:t>
      </w:r>
      <w:r>
        <w:rPr>
          <w:rFonts w:hint="eastAsia" w:ascii="宋体" w:hAnsi="宋体" w:eastAsia="宋体" w:cs="宋体"/>
          <w:color w:val="auto"/>
          <w:kern w:val="0"/>
          <w:szCs w:val="21"/>
          <w:highlight w:val="none"/>
        </w:rPr>
        <w:t>或者报价组成异常，且一致或者呈规律性变化的；</w:t>
      </w:r>
    </w:p>
    <w:p w14:paraId="714686D4">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由同一单位或者同一个人编制的；</w:t>
      </w:r>
    </w:p>
    <w:p w14:paraId="691C4FB0">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载明的项目管理班子成员出现同一人的；</w:t>
      </w:r>
    </w:p>
    <w:p w14:paraId="252E9CED">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相互混装的；</w:t>
      </w:r>
    </w:p>
    <w:p w14:paraId="0FFFF2AC">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由同一台电脑编制的；</w:t>
      </w:r>
    </w:p>
    <w:p w14:paraId="0BC210D9">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委托同一人投标的；</w:t>
      </w:r>
    </w:p>
    <w:p w14:paraId="3E0D1B1C">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使用同一个企业资金交纳投标保证金的；</w:t>
      </w:r>
    </w:p>
    <w:p w14:paraId="10CFC099">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聘请同一人为其投标提供技术或者经济咨询服务的，但招标</w:t>
      </w: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rPr>
        <w:t>本身要求采用专有技术的除外；</w:t>
      </w:r>
    </w:p>
    <w:p w14:paraId="13C4EF6F">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r>
        <w:rPr>
          <w:rFonts w:hint="eastAsia" w:ascii="宋体" w:hAnsi="宋体" w:eastAsia="宋体" w:cs="宋体"/>
          <w:color w:val="auto"/>
          <w:kern w:val="0"/>
          <w:szCs w:val="21"/>
          <w:highlight w:val="none"/>
          <w:lang w:eastAsia="zh-CN"/>
        </w:rPr>
        <w:t>评审小组</w:t>
      </w:r>
      <w:r>
        <w:rPr>
          <w:rFonts w:hint="eastAsia" w:ascii="宋体" w:hAnsi="宋体" w:eastAsia="宋体" w:cs="宋体"/>
          <w:color w:val="auto"/>
          <w:kern w:val="0"/>
          <w:szCs w:val="21"/>
          <w:highlight w:val="none"/>
        </w:rPr>
        <w:t>认定的其他串通投标情形。</w:t>
      </w:r>
    </w:p>
    <w:p w14:paraId="5D4C9908">
      <w:pPr>
        <w:ind w:firstLine="420"/>
        <w:rPr>
          <w:rFonts w:hint="default" w:ascii="Times New Roman" w:hAnsi="Times New Roman" w:eastAsia="宋体" w:cs="Times New Roman"/>
          <w:color w:val="auto"/>
          <w:highlight w:val="none"/>
          <w:lang w:val="en-US" w:eastAsia="zh-CN"/>
        </w:rPr>
      </w:pPr>
    </w:p>
    <w:p w14:paraId="2B4A00CC">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ascii="宋体" w:hAnsi="宋体" w:eastAsia="宋体" w:cs="Times New Roman"/>
          <w:color w:val="auto"/>
          <w:spacing w:val="1"/>
          <w:kern w:val="0"/>
          <w:szCs w:val="21"/>
          <w:highlight w:val="none"/>
        </w:rPr>
        <w:t>3</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拒绝</w:t>
      </w:r>
      <w:r>
        <w:rPr>
          <w:rFonts w:ascii="宋体" w:hAnsi="宋体" w:eastAsia="宋体" w:cs="Times New Roman"/>
          <w:color w:val="auto"/>
          <w:kern w:val="0"/>
          <w:szCs w:val="21"/>
          <w:highlight w:val="none"/>
        </w:rPr>
        <w:t>按</w:t>
      </w:r>
      <w:r>
        <w:rPr>
          <w:rFonts w:hint="eastAsia" w:ascii="宋体" w:hAnsi="宋体" w:eastAsia="宋体" w:cs="Times New Roman"/>
          <w:color w:val="auto"/>
          <w:spacing w:val="-1"/>
          <w:kern w:val="0"/>
          <w:szCs w:val="21"/>
          <w:highlight w:val="none"/>
          <w:lang w:eastAsia="zh-CN"/>
        </w:rPr>
        <w:t>评审小组</w:t>
      </w:r>
      <w:r>
        <w:rPr>
          <w:rFonts w:ascii="宋体" w:hAnsi="宋体" w:eastAsia="宋体" w:cs="Times New Roman"/>
          <w:color w:val="auto"/>
          <w:kern w:val="0"/>
          <w:szCs w:val="21"/>
          <w:highlight w:val="none"/>
        </w:rPr>
        <w:t>要求澄清、说明或补正的</w:t>
      </w:r>
      <w:r>
        <w:rPr>
          <w:rFonts w:hint="eastAsia" w:ascii="宋体" w:hAnsi="宋体" w:eastAsia="宋体" w:cs="Times New Roman"/>
          <w:color w:val="auto"/>
          <w:kern w:val="0"/>
          <w:szCs w:val="21"/>
          <w:highlight w:val="none"/>
        </w:rPr>
        <w:t>。</w:t>
      </w:r>
    </w:p>
    <w:p w14:paraId="35530E2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3.1.3  </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有算术错误的，</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按以下原则对</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进行修正，修正的价格经</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书面确认后具有约束力</w:t>
      </w:r>
      <w:r>
        <w:rPr>
          <w:rFonts w:hint="eastAsia" w:ascii="宋体" w:hAnsi="宋体" w:eastAsia="宋体" w:cs="Times New Roman"/>
          <w:color w:val="auto"/>
          <w:kern w:val="0"/>
          <w:szCs w:val="21"/>
          <w:highlight w:val="none"/>
        </w:rPr>
        <w:t>，修正原则如下：</w:t>
      </w:r>
    </w:p>
    <w:p w14:paraId="005B9335">
      <w:pPr>
        <w:autoSpaceDE w:val="0"/>
        <w:autoSpaceDN w:val="0"/>
        <w:adjustRightInd w:val="0"/>
        <w:snapToGrid w:val="0"/>
        <w:spacing w:line="360" w:lineRule="auto"/>
        <w:ind w:firstLine="532"/>
        <w:rPr>
          <w:rFonts w:ascii="宋体" w:hAnsi="宋体" w:eastAsia="宋体" w:cs="Times New Roman"/>
          <w:color w:val="auto"/>
          <w:kern w:val="0"/>
          <w:szCs w:val="21"/>
          <w:highlight w:val="none"/>
        </w:rPr>
      </w:pPr>
      <w:r>
        <w:rPr>
          <w:rFonts w:ascii="宋体" w:hAnsi="宋体" w:eastAsia="宋体" w:cs="Times New Roman"/>
          <w:color w:val="auto"/>
          <w:spacing w:val="-1"/>
          <w:kern w:val="0"/>
          <w:szCs w:val="21"/>
          <w:highlight w:val="none"/>
        </w:rPr>
        <w:t>（1）</w:t>
      </w:r>
      <w:r>
        <w:rPr>
          <w:rFonts w:hint="eastAsia" w:ascii="宋体" w:hAnsi="宋体" w:eastAsia="宋体" w:cs="Times New Roman"/>
          <w:color w:val="auto"/>
          <w:spacing w:val="-1"/>
          <w:kern w:val="0"/>
          <w:szCs w:val="21"/>
          <w:highlight w:val="none"/>
          <w:lang w:eastAsia="zh-CN"/>
        </w:rPr>
        <w:t>竞标文件</w:t>
      </w:r>
      <w:r>
        <w:rPr>
          <w:rFonts w:ascii="宋体" w:hAnsi="宋体" w:eastAsia="宋体" w:cs="Times New Roman"/>
          <w:color w:val="auto"/>
          <w:spacing w:val="-1"/>
          <w:kern w:val="0"/>
          <w:szCs w:val="21"/>
          <w:highlight w:val="none"/>
        </w:rPr>
        <w:t>中的大写金额与小写金额不一致的，以大写金</w:t>
      </w:r>
      <w:r>
        <w:rPr>
          <w:rFonts w:ascii="宋体" w:hAnsi="宋体" w:eastAsia="宋体" w:cs="Times New Roman"/>
          <w:color w:val="auto"/>
          <w:kern w:val="0"/>
          <w:szCs w:val="21"/>
          <w:highlight w:val="none"/>
        </w:rPr>
        <w:t>额为准</w:t>
      </w:r>
      <w:r>
        <w:rPr>
          <w:rFonts w:hint="eastAsia" w:ascii="宋体" w:hAnsi="宋体" w:eastAsia="宋体" w:cs="Times New Roman"/>
          <w:color w:val="auto"/>
          <w:kern w:val="0"/>
          <w:szCs w:val="21"/>
          <w:highlight w:val="none"/>
        </w:rPr>
        <w:t>；</w:t>
      </w:r>
    </w:p>
    <w:p w14:paraId="1E61A51D">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429" w:name="_Toc12430"/>
      <w:bookmarkStart w:id="430" w:name="_Toc287607818"/>
      <w:bookmarkStart w:id="431" w:name="_Toc430530506"/>
      <w:bookmarkStart w:id="432" w:name="_Toc200513204"/>
      <w:bookmarkStart w:id="433" w:name="_Toc31837"/>
      <w:bookmarkStart w:id="434" w:name="_Toc277082624"/>
      <w:bookmarkStart w:id="435" w:name="_Toc287620757"/>
      <w:bookmarkStart w:id="436" w:name="_Toc224103390"/>
      <w:bookmarkStart w:id="437" w:name="_Toc8312"/>
      <w:bookmarkStart w:id="438" w:name="_Toc509218782"/>
      <w:r>
        <w:rPr>
          <w:rFonts w:ascii="宋体" w:hAnsi="宋体" w:eastAsia="宋体" w:cs="Times New Roman"/>
          <w:b w:val="0"/>
          <w:bCs/>
          <w:snapToGrid w:val="0"/>
          <w:color w:val="auto"/>
          <w:kern w:val="2"/>
          <w:sz w:val="24"/>
          <w:szCs w:val="24"/>
          <w:highlight w:val="none"/>
          <w:lang w:val="en-US" w:eastAsia="zh-CN" w:bidi="ar-SA"/>
        </w:rPr>
        <w:t>3.2  详细评审</w:t>
      </w:r>
      <w:bookmarkEnd w:id="429"/>
      <w:bookmarkEnd w:id="430"/>
      <w:bookmarkEnd w:id="431"/>
      <w:bookmarkEnd w:id="432"/>
      <w:bookmarkEnd w:id="433"/>
      <w:bookmarkEnd w:id="434"/>
      <w:bookmarkEnd w:id="435"/>
      <w:bookmarkEnd w:id="436"/>
      <w:bookmarkEnd w:id="437"/>
      <w:bookmarkEnd w:id="438"/>
    </w:p>
    <w:p w14:paraId="6618E26F">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3.2.1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按本章第2.2款规定的量化因素和分值进行</w:t>
      </w:r>
      <w:r>
        <w:rPr>
          <w:rFonts w:hint="eastAsia" w:ascii="宋体" w:hAnsi="宋体" w:eastAsia="宋体" w:cs="Times New Roman"/>
          <w:color w:val="auto"/>
          <w:kern w:val="0"/>
          <w:szCs w:val="21"/>
          <w:highlight w:val="none"/>
          <w:lang w:eastAsia="zh-CN"/>
        </w:rPr>
        <w:t>评分</w:t>
      </w:r>
      <w:r>
        <w:rPr>
          <w:rFonts w:ascii="宋体" w:hAnsi="宋体" w:eastAsia="宋体" w:cs="Times New Roman"/>
          <w:color w:val="auto"/>
          <w:kern w:val="0"/>
          <w:szCs w:val="21"/>
          <w:highlight w:val="none"/>
        </w:rPr>
        <w:t>，并计算出综合评估得分。</w:t>
      </w:r>
    </w:p>
    <w:p w14:paraId="3F272A7B">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）按本章第3.2.1（</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）目规定的评审因素和分值对技术方案计算出得分</w:t>
      </w:r>
      <w:r>
        <w:rPr>
          <w:rFonts w:hint="eastAsia" w:ascii="宋体" w:hAnsi="宋体" w:eastAsia="宋体" w:cs="Times New Roman"/>
          <w:color w:val="auto"/>
          <w:kern w:val="0"/>
          <w:szCs w:val="21"/>
          <w:highlight w:val="none"/>
        </w:rPr>
        <w:t>A</w:t>
      </w:r>
    </w:p>
    <w:p w14:paraId="7F484690">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（2）按本章第3.2.1（2）目规定的评审因素和分值对商务部分计算出得分B。</w:t>
      </w:r>
    </w:p>
    <w:p w14:paraId="160366B1">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rPr>
        <w:t>）按本章第3.2.1（</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rPr>
        <w:t>）目规定的评审因素和分值对投标总报价计算出得分</w:t>
      </w:r>
      <w:r>
        <w:rPr>
          <w:rFonts w:hint="eastAsia" w:ascii="宋体" w:hAnsi="宋体" w:eastAsia="宋体" w:cs="Times New Roman"/>
          <w:color w:val="auto"/>
          <w:kern w:val="0"/>
          <w:szCs w:val="21"/>
          <w:highlight w:val="none"/>
          <w:lang w:val="en-US" w:eastAsia="zh-CN"/>
        </w:rPr>
        <w:t>C</w:t>
      </w:r>
      <w:r>
        <w:rPr>
          <w:rFonts w:hint="eastAsia" w:ascii="宋体" w:hAnsi="宋体" w:eastAsia="宋体" w:cs="Times New Roman"/>
          <w:color w:val="auto"/>
          <w:kern w:val="0"/>
          <w:szCs w:val="21"/>
          <w:highlight w:val="none"/>
        </w:rPr>
        <w:t>。</w:t>
      </w:r>
    </w:p>
    <w:p w14:paraId="456CFD43">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3.2.2  各类评分分值的最终计算结果保留小数点后两位，小数点后第三位“四舍五入”。</w:t>
      </w:r>
    </w:p>
    <w:p w14:paraId="548EB09E">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3.2.3  </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得分=A+B</w:t>
      </w:r>
      <w:r>
        <w:rPr>
          <w:rFonts w:hint="eastAsia" w:ascii="宋体" w:hAnsi="宋体" w:eastAsia="宋体" w:cs="Times New Roman"/>
          <w:color w:val="auto"/>
          <w:kern w:val="0"/>
          <w:szCs w:val="21"/>
          <w:highlight w:val="none"/>
          <w:lang w:val="en-US" w:eastAsia="zh-CN"/>
        </w:rPr>
        <w:t>+C</w:t>
      </w:r>
      <w:r>
        <w:rPr>
          <w:rFonts w:hint="eastAsia" w:ascii="宋体" w:hAnsi="宋体" w:eastAsia="宋体" w:cs="Times New Roman"/>
          <w:color w:val="auto"/>
          <w:kern w:val="0"/>
          <w:szCs w:val="21"/>
          <w:highlight w:val="none"/>
        </w:rPr>
        <w:t>。</w:t>
      </w:r>
    </w:p>
    <w:p w14:paraId="10A961B9">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439" w:name="_Toc287620758"/>
      <w:bookmarkStart w:id="440" w:name="_Toc509218783"/>
      <w:bookmarkStart w:id="441" w:name="_Toc29615"/>
      <w:bookmarkStart w:id="442" w:name="_Toc277082625"/>
      <w:bookmarkStart w:id="443" w:name="_Toc200513205"/>
      <w:bookmarkStart w:id="444" w:name="_Toc287607819"/>
      <w:bookmarkStart w:id="445" w:name="_Toc23268"/>
      <w:bookmarkStart w:id="446" w:name="_Toc30938"/>
      <w:bookmarkStart w:id="447" w:name="_Toc224103391"/>
      <w:bookmarkStart w:id="448" w:name="_Toc430530507"/>
      <w:r>
        <w:rPr>
          <w:rFonts w:ascii="宋体" w:hAnsi="宋体" w:eastAsia="宋体" w:cs="Times New Roman"/>
          <w:b w:val="0"/>
          <w:bCs/>
          <w:snapToGrid w:val="0"/>
          <w:color w:val="auto"/>
          <w:kern w:val="2"/>
          <w:sz w:val="24"/>
          <w:szCs w:val="24"/>
          <w:highlight w:val="none"/>
          <w:lang w:val="en-US" w:eastAsia="zh-CN" w:bidi="ar-SA"/>
        </w:rPr>
        <w:t xml:space="preserve">3.3  </w:t>
      </w:r>
      <w:r>
        <w:rPr>
          <w:rFonts w:hint="eastAsia" w:ascii="宋体" w:hAnsi="宋体" w:eastAsia="宋体" w:cs="Times New Roman"/>
          <w:b w:val="0"/>
          <w:bCs/>
          <w:snapToGrid w:val="0"/>
          <w:color w:val="auto"/>
          <w:kern w:val="2"/>
          <w:sz w:val="24"/>
          <w:szCs w:val="24"/>
          <w:highlight w:val="none"/>
          <w:lang w:val="en-US" w:eastAsia="zh-CN" w:bidi="ar-SA"/>
        </w:rPr>
        <w:t>竞标文件</w:t>
      </w:r>
      <w:r>
        <w:rPr>
          <w:rFonts w:ascii="宋体" w:hAnsi="宋体" w:eastAsia="宋体" w:cs="Times New Roman"/>
          <w:b w:val="0"/>
          <w:bCs/>
          <w:snapToGrid w:val="0"/>
          <w:color w:val="auto"/>
          <w:kern w:val="2"/>
          <w:sz w:val="24"/>
          <w:szCs w:val="24"/>
          <w:highlight w:val="none"/>
          <w:lang w:val="en-US" w:eastAsia="zh-CN" w:bidi="ar-SA"/>
        </w:rPr>
        <w:t>的澄清和补正</w:t>
      </w:r>
      <w:bookmarkEnd w:id="439"/>
      <w:bookmarkEnd w:id="440"/>
      <w:bookmarkEnd w:id="441"/>
      <w:bookmarkEnd w:id="442"/>
      <w:bookmarkEnd w:id="443"/>
      <w:bookmarkEnd w:id="444"/>
      <w:bookmarkEnd w:id="445"/>
      <w:bookmarkEnd w:id="446"/>
      <w:bookmarkEnd w:id="447"/>
      <w:bookmarkEnd w:id="448"/>
    </w:p>
    <w:p w14:paraId="2B46E710">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3.3.1  在评标过程中，</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可以书面形式要求</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对所提交</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中不明确的内容进行书面澄清或说明，或者对细微偏差进行补正。</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不接受</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主动提出的澄清、说明或补正。</w:t>
      </w:r>
    </w:p>
    <w:p w14:paraId="103A1A03">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3.3.2  澄清、说明和补正不得改变</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的实质性内容（算术性错误修正的除外）。</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的书面澄清、说明和补正属于</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的组成部分。</w:t>
      </w:r>
    </w:p>
    <w:p w14:paraId="0776CF00">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3.3.3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对</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提交的澄清、说明或补正有疑问的，可以要求</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进一步澄清、说明或补正，直至满足</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的要求。</w:t>
      </w:r>
    </w:p>
    <w:p w14:paraId="570E0A05">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449" w:name="_Toc287620759"/>
      <w:bookmarkStart w:id="450" w:name="_Toc430530508"/>
      <w:bookmarkStart w:id="451" w:name="_Toc224103392"/>
      <w:bookmarkStart w:id="452" w:name="_Toc22832"/>
      <w:bookmarkStart w:id="453" w:name="_Toc17868"/>
      <w:bookmarkStart w:id="454" w:name="_Toc21649"/>
      <w:bookmarkStart w:id="455" w:name="_Toc509218784"/>
      <w:bookmarkStart w:id="456" w:name="_Toc277082626"/>
      <w:bookmarkStart w:id="457" w:name="_Toc287607820"/>
      <w:bookmarkStart w:id="458" w:name="_Toc200513206"/>
      <w:r>
        <w:rPr>
          <w:rFonts w:ascii="宋体" w:hAnsi="宋体" w:eastAsia="宋体" w:cs="Times New Roman"/>
          <w:b w:val="0"/>
          <w:bCs/>
          <w:snapToGrid w:val="0"/>
          <w:color w:val="auto"/>
          <w:kern w:val="2"/>
          <w:sz w:val="24"/>
          <w:szCs w:val="24"/>
          <w:highlight w:val="none"/>
          <w:lang w:val="en-US" w:eastAsia="zh-CN" w:bidi="ar-SA"/>
        </w:rPr>
        <w:t>3.4  评标结果</w:t>
      </w:r>
      <w:bookmarkEnd w:id="449"/>
      <w:bookmarkEnd w:id="450"/>
      <w:bookmarkEnd w:id="451"/>
      <w:bookmarkEnd w:id="452"/>
      <w:bookmarkEnd w:id="453"/>
      <w:bookmarkEnd w:id="454"/>
      <w:bookmarkEnd w:id="455"/>
      <w:bookmarkEnd w:id="456"/>
      <w:bookmarkEnd w:id="457"/>
      <w:bookmarkEnd w:id="458"/>
    </w:p>
    <w:p w14:paraId="1F283B61">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w:t>
      </w:r>
      <w:r>
        <w:rPr>
          <w:rFonts w:ascii="宋体" w:hAnsi="宋体" w:eastAsia="宋体" w:cs="Times New Roman"/>
          <w:color w:val="auto"/>
          <w:spacing w:val="-1"/>
          <w:kern w:val="0"/>
          <w:szCs w:val="21"/>
          <w:highlight w:val="none"/>
        </w:rPr>
        <w:t>4</w:t>
      </w:r>
      <w:r>
        <w:rPr>
          <w:rFonts w:ascii="宋体" w:hAnsi="宋体" w:eastAsia="宋体" w:cs="Times New Roman"/>
          <w:color w:val="auto"/>
          <w:kern w:val="0"/>
          <w:szCs w:val="21"/>
          <w:highlight w:val="none"/>
        </w:rPr>
        <w:t xml:space="preserve">.1 </w:t>
      </w:r>
      <w:r>
        <w:rPr>
          <w:rFonts w:ascii="宋体" w:hAnsi="宋体" w:eastAsia="宋体" w:cs="Times New Roman"/>
          <w:color w:val="auto"/>
          <w:spacing w:val="1"/>
          <w:kern w:val="0"/>
          <w:szCs w:val="21"/>
          <w:highlight w:val="none"/>
        </w:rPr>
        <w:t xml:space="preserve"> </w:t>
      </w:r>
      <w:r>
        <w:rPr>
          <w:rFonts w:ascii="宋体" w:hAnsi="宋体" w:eastAsia="宋体" w:cs="Times New Roman"/>
          <w:color w:val="auto"/>
          <w:kern w:val="0"/>
          <w:szCs w:val="21"/>
          <w:highlight w:val="none"/>
        </w:rPr>
        <w:t>除第二章“</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须知”前</w:t>
      </w:r>
      <w:r>
        <w:rPr>
          <w:rFonts w:ascii="宋体" w:hAnsi="宋体" w:eastAsia="宋体" w:cs="Times New Roman"/>
          <w:color w:val="auto"/>
          <w:spacing w:val="1"/>
          <w:kern w:val="0"/>
          <w:szCs w:val="21"/>
          <w:highlight w:val="none"/>
        </w:rPr>
        <w:t>附</w:t>
      </w:r>
      <w:r>
        <w:rPr>
          <w:rFonts w:ascii="宋体" w:hAnsi="宋体" w:eastAsia="宋体" w:cs="Times New Roman"/>
          <w:color w:val="auto"/>
          <w:kern w:val="0"/>
          <w:szCs w:val="21"/>
          <w:highlight w:val="none"/>
        </w:rPr>
        <w:t>表授权直</w:t>
      </w:r>
      <w:r>
        <w:rPr>
          <w:rFonts w:ascii="宋体" w:hAnsi="宋体" w:eastAsia="宋体" w:cs="Times New Roman"/>
          <w:color w:val="auto"/>
          <w:spacing w:val="1"/>
          <w:kern w:val="0"/>
          <w:szCs w:val="21"/>
          <w:highlight w:val="none"/>
        </w:rPr>
        <w:t>接</w:t>
      </w:r>
      <w:r>
        <w:rPr>
          <w:rFonts w:ascii="宋体" w:hAnsi="宋体" w:eastAsia="宋体" w:cs="Times New Roman"/>
          <w:color w:val="auto"/>
          <w:kern w:val="0"/>
          <w:szCs w:val="21"/>
          <w:highlight w:val="none"/>
        </w:rPr>
        <w:t>确定中标</w:t>
      </w:r>
      <w:r>
        <w:rPr>
          <w:rFonts w:ascii="宋体" w:hAnsi="宋体" w:eastAsia="宋体" w:cs="Times New Roman"/>
          <w:color w:val="auto"/>
          <w:spacing w:val="1"/>
          <w:kern w:val="0"/>
          <w:szCs w:val="21"/>
          <w:highlight w:val="none"/>
        </w:rPr>
        <w:t>人</w:t>
      </w:r>
      <w:r>
        <w:rPr>
          <w:rFonts w:ascii="宋体" w:hAnsi="宋体" w:eastAsia="宋体" w:cs="Times New Roman"/>
          <w:color w:val="auto"/>
          <w:kern w:val="0"/>
          <w:szCs w:val="21"/>
          <w:highlight w:val="none"/>
        </w:rPr>
        <w:t>外，</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按照</w:t>
      </w:r>
      <w:r>
        <w:rPr>
          <w:rFonts w:ascii="宋体" w:hAnsi="宋体" w:eastAsia="宋体" w:cs="Times New Roman"/>
          <w:color w:val="auto"/>
          <w:spacing w:val="1"/>
          <w:kern w:val="0"/>
          <w:szCs w:val="21"/>
          <w:highlight w:val="none"/>
        </w:rPr>
        <w:t>得分</w:t>
      </w:r>
      <w:r>
        <w:rPr>
          <w:rFonts w:ascii="宋体" w:hAnsi="宋体" w:eastAsia="宋体" w:cs="Times New Roman"/>
          <w:color w:val="auto"/>
          <w:kern w:val="0"/>
          <w:szCs w:val="21"/>
          <w:highlight w:val="none"/>
        </w:rPr>
        <w:t>由高到低的顺序推荐中标候选人。</w:t>
      </w:r>
    </w:p>
    <w:p w14:paraId="14CC8096">
      <w:pPr>
        <w:autoSpaceDE w:val="0"/>
        <w:autoSpaceDN w:val="0"/>
        <w:adjustRightInd w:val="0"/>
        <w:snapToGrid w:val="0"/>
        <w:spacing w:line="360" w:lineRule="auto"/>
        <w:ind w:firstLine="424" w:firstLineChars="200"/>
        <w:rPr>
          <w:rFonts w:ascii="宋体" w:hAnsi="宋体" w:eastAsia="宋体" w:cs="Times New Roman"/>
          <w:color w:val="auto"/>
          <w:kern w:val="0"/>
          <w:szCs w:val="21"/>
          <w:highlight w:val="none"/>
        </w:rPr>
      </w:pPr>
      <w:r>
        <w:rPr>
          <w:rFonts w:ascii="宋体" w:hAnsi="宋体" w:eastAsia="宋体" w:cs="Times New Roman"/>
          <w:color w:val="auto"/>
          <w:spacing w:val="1"/>
          <w:kern w:val="0"/>
          <w:szCs w:val="21"/>
          <w:highlight w:val="none"/>
        </w:rPr>
        <w:t>3</w:t>
      </w:r>
      <w:r>
        <w:rPr>
          <w:rFonts w:ascii="宋体" w:hAnsi="宋体" w:eastAsia="宋体" w:cs="Times New Roman"/>
          <w:color w:val="auto"/>
          <w:kern w:val="0"/>
          <w:szCs w:val="21"/>
          <w:highlight w:val="none"/>
        </w:rPr>
        <w:t xml:space="preserve">.4.2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完成评标后，应当向</w:t>
      </w:r>
      <w:r>
        <w:rPr>
          <w:rFonts w:hint="eastAsia" w:ascii="宋体" w:hAnsi="宋体" w:eastAsia="宋体" w:cs="Times New Roman"/>
          <w:color w:val="auto"/>
          <w:kern w:val="0"/>
          <w:szCs w:val="21"/>
          <w:highlight w:val="none"/>
          <w:lang w:eastAsia="zh-CN"/>
        </w:rPr>
        <w:t>比选人</w:t>
      </w:r>
      <w:r>
        <w:rPr>
          <w:rFonts w:ascii="宋体" w:hAnsi="宋体" w:eastAsia="宋体" w:cs="Times New Roman"/>
          <w:color w:val="auto"/>
          <w:kern w:val="0"/>
          <w:szCs w:val="21"/>
          <w:highlight w:val="none"/>
        </w:rPr>
        <w:t>提交书面评标报告。</w:t>
      </w:r>
    </w:p>
    <w:p w14:paraId="494FDF30">
      <w:pPr>
        <w:spacing w:line="360" w:lineRule="auto"/>
        <w:rPr>
          <w:rFonts w:hint="eastAsia" w:ascii="宋体" w:hAnsi="宋体" w:eastAsia="宋体" w:cs="Times New Roman"/>
          <w:b/>
          <w:color w:val="auto"/>
          <w:szCs w:val="20"/>
          <w:highlight w:val="none"/>
        </w:rPr>
      </w:pPr>
    </w:p>
    <w:p w14:paraId="5DE664BE">
      <w:pPr>
        <w:rPr>
          <w:rFonts w:ascii="宋体" w:hAnsi="宋体" w:eastAsia="宋体" w:cs="Times New Roman"/>
          <w:b/>
          <w:color w:val="auto"/>
          <w:kern w:val="0"/>
          <w:sz w:val="28"/>
          <w:szCs w:val="28"/>
          <w:highlight w:val="none"/>
          <w:u w:val="none"/>
          <w:lang w:val="en-US" w:eastAsia="zh-CN" w:bidi="ar-SA"/>
        </w:rPr>
      </w:pPr>
      <w:bookmarkStart w:id="459" w:name="招标文件03章02评标办法综合评估法02附件02"/>
      <w:bookmarkEnd w:id="459"/>
      <w:bookmarkStart w:id="460" w:name="招标文件04章合同条款及格式"/>
      <w:bookmarkEnd w:id="460"/>
      <w:bookmarkStart w:id="461" w:name="_Toc230410480"/>
      <w:bookmarkStart w:id="462" w:name="_Toc277082627"/>
      <w:r>
        <w:rPr>
          <w:rFonts w:ascii="宋体" w:hAnsi="宋体" w:eastAsia="宋体" w:cs="Times New Roman"/>
          <w:b/>
          <w:color w:val="auto"/>
          <w:kern w:val="0"/>
          <w:sz w:val="28"/>
          <w:szCs w:val="28"/>
          <w:highlight w:val="none"/>
          <w:u w:val="none"/>
          <w:lang w:val="en-US" w:eastAsia="zh-CN" w:bidi="ar-SA"/>
        </w:rPr>
        <w:br w:type="page"/>
      </w:r>
    </w:p>
    <w:p w14:paraId="3C26CEE0">
      <w:pPr>
        <w:widowControl/>
        <w:spacing w:line="360" w:lineRule="auto"/>
        <w:jc w:val="center"/>
        <w:rPr>
          <w:rFonts w:ascii="宋体" w:hAnsi="宋体" w:eastAsia="宋体" w:cs="Times New Roman"/>
          <w:b/>
          <w:color w:val="auto"/>
          <w:kern w:val="0"/>
          <w:sz w:val="28"/>
          <w:szCs w:val="28"/>
          <w:highlight w:val="none"/>
          <w:u w:val="none"/>
          <w:lang w:val="en-US" w:eastAsia="zh-CN" w:bidi="ar-SA"/>
        </w:rPr>
      </w:pPr>
      <w:r>
        <w:rPr>
          <w:rFonts w:ascii="宋体" w:hAnsi="宋体" w:eastAsia="宋体" w:cs="Times New Roman"/>
          <w:b/>
          <w:color w:val="auto"/>
          <w:kern w:val="0"/>
          <w:sz w:val="28"/>
          <w:szCs w:val="28"/>
          <w:highlight w:val="none"/>
          <w:u w:val="none"/>
          <w:lang w:val="en-US" w:eastAsia="zh-CN" w:bidi="ar-SA"/>
        </w:rPr>
        <w:t>附件A：综合评估法否决投标情况一览表</w:t>
      </w:r>
      <w:bookmarkEnd w:id="461"/>
    </w:p>
    <w:bookmarkEnd w:id="462"/>
    <w:p w14:paraId="618B1E16">
      <w:pPr>
        <w:widowControl/>
        <w:spacing w:line="360" w:lineRule="auto"/>
        <w:ind w:firstLine="420" w:firstLineChars="200"/>
        <w:jc w:val="both"/>
        <w:rPr>
          <w:rFonts w:ascii="宋体" w:hAnsi="宋体" w:eastAsia="宋体" w:cs="Times New Roman"/>
          <w:color w:val="auto"/>
          <w:kern w:val="0"/>
          <w:sz w:val="21"/>
          <w:szCs w:val="21"/>
          <w:highlight w:val="none"/>
          <w:u w:val="none"/>
          <w:lang w:val="en-US" w:eastAsia="zh-CN" w:bidi="ar-SA"/>
        </w:rPr>
      </w:pPr>
      <w:r>
        <w:rPr>
          <w:rFonts w:hint="eastAsia" w:ascii="宋体" w:hAnsi="宋体" w:eastAsia="宋体" w:cs="Times New Roman"/>
          <w:color w:val="auto"/>
          <w:kern w:val="0"/>
          <w:sz w:val="21"/>
          <w:szCs w:val="21"/>
          <w:highlight w:val="none"/>
          <w:u w:val="none"/>
          <w:lang w:val="en-US" w:eastAsia="zh-CN" w:bidi="ar-SA"/>
        </w:rPr>
        <w:t>竞标文件存在本一览表下列情形之一的，竞标文件视为重大偏差并作否决投标处理，否则，评审小组不得视为重大偏差而否决竞标人的竞标文件</w:t>
      </w:r>
      <w:r>
        <w:rPr>
          <w:rFonts w:ascii="宋体" w:hAnsi="宋体" w:eastAsia="宋体" w:cs="Times New Roman"/>
          <w:color w:val="auto"/>
          <w:kern w:val="0"/>
          <w:sz w:val="21"/>
          <w:szCs w:val="21"/>
          <w:highlight w:val="none"/>
          <w:u w:val="none"/>
          <w:lang w:val="en-US" w:eastAsia="zh-CN" w:bidi="ar-SA"/>
        </w:rPr>
        <w:t>。</w:t>
      </w:r>
    </w:p>
    <w:tbl>
      <w:tblPr>
        <w:tblStyle w:val="48"/>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2777B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noWrap w:val="0"/>
            <w:vAlign w:val="center"/>
          </w:tcPr>
          <w:p w14:paraId="16D6FFE4">
            <w:pPr>
              <w:spacing w:line="400" w:lineRule="exact"/>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章节号</w:t>
            </w:r>
          </w:p>
        </w:tc>
        <w:tc>
          <w:tcPr>
            <w:tcW w:w="1899" w:type="dxa"/>
            <w:noWrap w:val="0"/>
            <w:vAlign w:val="center"/>
          </w:tcPr>
          <w:p w14:paraId="0432F510">
            <w:pPr>
              <w:spacing w:line="400" w:lineRule="exact"/>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条款名称</w:t>
            </w:r>
          </w:p>
        </w:tc>
        <w:tc>
          <w:tcPr>
            <w:tcW w:w="6333" w:type="dxa"/>
            <w:noWrap w:val="0"/>
            <w:vAlign w:val="center"/>
          </w:tcPr>
          <w:p w14:paraId="38BADF53">
            <w:pPr>
              <w:spacing w:line="400" w:lineRule="exact"/>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否决投标条件</w:t>
            </w:r>
          </w:p>
        </w:tc>
      </w:tr>
      <w:tr w14:paraId="41C547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9" w:hRule="atLeast"/>
          <w:tblHeader/>
          <w:jc w:val="center"/>
        </w:trPr>
        <w:tc>
          <w:tcPr>
            <w:tcW w:w="1237" w:type="dxa"/>
            <w:vMerge w:val="restart"/>
            <w:noWrap w:val="0"/>
            <w:vAlign w:val="center"/>
          </w:tcPr>
          <w:p w14:paraId="760C4499">
            <w:pPr>
              <w:spacing w:line="400" w:lineRule="exact"/>
              <w:jc w:val="center"/>
              <w:rPr>
                <w:rFonts w:ascii="宋体" w:hAnsi="宋体" w:eastAsia="宋体" w:cs="Times New Roman"/>
                <w:color w:val="auto"/>
                <w:szCs w:val="21"/>
                <w:highlight w:val="none"/>
              </w:rPr>
            </w:pPr>
          </w:p>
        </w:tc>
        <w:tc>
          <w:tcPr>
            <w:tcW w:w="1899" w:type="dxa"/>
            <w:vMerge w:val="restart"/>
            <w:noWrap w:val="0"/>
            <w:vAlign w:val="center"/>
          </w:tcPr>
          <w:p w14:paraId="232D4C39">
            <w:pPr>
              <w:spacing w:line="40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资格评审</w:t>
            </w:r>
          </w:p>
        </w:tc>
        <w:tc>
          <w:tcPr>
            <w:tcW w:w="6333" w:type="dxa"/>
            <w:noWrap w:val="0"/>
            <w:vAlign w:val="center"/>
          </w:tcPr>
          <w:p w14:paraId="63DE1EEF">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的营业执照须满足</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人须知前附表1.4.1项的要求，否则由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5598DE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57DA0586">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7DA90747">
            <w:pPr>
              <w:spacing w:line="400" w:lineRule="exact"/>
              <w:jc w:val="center"/>
              <w:rPr>
                <w:rFonts w:ascii="宋体" w:hAnsi="宋体" w:eastAsia="宋体" w:cs="Times New Roman"/>
                <w:color w:val="auto"/>
                <w:szCs w:val="21"/>
                <w:highlight w:val="none"/>
              </w:rPr>
            </w:pPr>
          </w:p>
        </w:tc>
        <w:tc>
          <w:tcPr>
            <w:tcW w:w="6333" w:type="dxa"/>
            <w:noWrap w:val="0"/>
            <w:vAlign w:val="center"/>
          </w:tcPr>
          <w:p w14:paraId="265ED728">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的投标截止日投标资格情况须满足</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须知前附表第1.4.1项的要求，否则由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395588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tblHeader/>
          <w:jc w:val="center"/>
        </w:trPr>
        <w:tc>
          <w:tcPr>
            <w:tcW w:w="1237" w:type="dxa"/>
            <w:vMerge w:val="continue"/>
            <w:noWrap w:val="0"/>
            <w:vAlign w:val="center"/>
          </w:tcPr>
          <w:p w14:paraId="3E891D84">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4B9B048A">
            <w:pPr>
              <w:spacing w:line="400" w:lineRule="exact"/>
              <w:jc w:val="center"/>
              <w:rPr>
                <w:rFonts w:ascii="宋体" w:hAnsi="宋体" w:eastAsia="宋体" w:cs="Times New Roman"/>
                <w:color w:val="auto"/>
                <w:szCs w:val="21"/>
                <w:highlight w:val="none"/>
              </w:rPr>
            </w:pPr>
          </w:p>
        </w:tc>
        <w:tc>
          <w:tcPr>
            <w:tcW w:w="6333" w:type="dxa"/>
            <w:noWrap w:val="0"/>
            <w:vAlign w:val="center"/>
          </w:tcPr>
          <w:p w14:paraId="546BF711">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的其他要求须满足</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须知前附表第1.4.1项的要求，否则由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535FF5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DE9E814">
            <w:pPr>
              <w:spacing w:line="400" w:lineRule="exact"/>
              <w:jc w:val="center"/>
              <w:rPr>
                <w:rFonts w:ascii="宋体" w:hAnsi="宋体" w:eastAsia="宋体" w:cs="Times New Roman"/>
                <w:color w:val="auto"/>
                <w:szCs w:val="21"/>
                <w:highlight w:val="none"/>
              </w:rPr>
            </w:pPr>
          </w:p>
        </w:tc>
        <w:tc>
          <w:tcPr>
            <w:tcW w:w="1899" w:type="dxa"/>
            <w:vMerge w:val="restart"/>
            <w:noWrap w:val="0"/>
            <w:vAlign w:val="center"/>
          </w:tcPr>
          <w:p w14:paraId="59E2ADFF">
            <w:pPr>
              <w:spacing w:line="40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形式评审</w:t>
            </w:r>
          </w:p>
        </w:tc>
        <w:tc>
          <w:tcPr>
            <w:tcW w:w="6333" w:type="dxa"/>
            <w:noWrap w:val="0"/>
            <w:vAlign w:val="top"/>
          </w:tcPr>
          <w:p w14:paraId="3CDAEA61">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名称必须与营业执照一致，依法变更名称的应提交相应证明材料，</w:t>
            </w:r>
            <w:r>
              <w:rPr>
                <w:rFonts w:ascii="宋体" w:hAnsi="宋体" w:eastAsia="宋体" w:cs="Times New Roman"/>
                <w:color w:val="auto"/>
                <w:szCs w:val="21"/>
                <w:highlight w:val="none"/>
              </w:rPr>
              <w:t>否则</w:t>
            </w:r>
            <w:r>
              <w:rPr>
                <w:rFonts w:hint="eastAsia" w:ascii="宋体" w:hAnsi="宋体" w:eastAsia="宋体" w:cs="Times New Roman"/>
                <w:color w:val="auto"/>
                <w:szCs w:val="21"/>
                <w:highlight w:val="none"/>
              </w:rPr>
              <w:t>由</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作否决投标处理。</w:t>
            </w:r>
          </w:p>
        </w:tc>
      </w:tr>
      <w:tr w14:paraId="54C1E6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0137892">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70B3D85A">
            <w:pPr>
              <w:spacing w:line="400" w:lineRule="exact"/>
              <w:jc w:val="center"/>
              <w:rPr>
                <w:rFonts w:ascii="宋体" w:hAnsi="宋体" w:eastAsia="宋体" w:cs="Times New Roman"/>
                <w:color w:val="auto"/>
                <w:szCs w:val="21"/>
                <w:highlight w:val="none"/>
              </w:rPr>
            </w:pPr>
          </w:p>
        </w:tc>
        <w:tc>
          <w:tcPr>
            <w:tcW w:w="6333" w:type="dxa"/>
            <w:noWrap w:val="0"/>
            <w:vAlign w:val="top"/>
          </w:tcPr>
          <w:p w14:paraId="06393C22">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竞标函</w:t>
            </w:r>
            <w:r>
              <w:rPr>
                <w:rFonts w:hint="eastAsia" w:ascii="宋体" w:hAnsi="宋体" w:eastAsia="宋体" w:cs="Times New Roman"/>
                <w:color w:val="auto"/>
                <w:szCs w:val="21"/>
                <w:highlight w:val="none"/>
              </w:rPr>
              <w:t>格式规定签名、盖章的位置有法定代表人或其委托代理人签名（或盖章）、加盖单位法人章，否则由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306F99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938CCAA">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7A880CD9">
            <w:pPr>
              <w:spacing w:line="400" w:lineRule="exact"/>
              <w:jc w:val="center"/>
              <w:rPr>
                <w:rFonts w:ascii="宋体" w:hAnsi="宋体" w:eastAsia="宋体" w:cs="Times New Roman"/>
                <w:color w:val="auto"/>
                <w:szCs w:val="21"/>
                <w:highlight w:val="none"/>
              </w:rPr>
            </w:pPr>
          </w:p>
        </w:tc>
        <w:tc>
          <w:tcPr>
            <w:tcW w:w="6333" w:type="dxa"/>
            <w:noWrap w:val="0"/>
            <w:vAlign w:val="top"/>
          </w:tcPr>
          <w:p w14:paraId="11CEE1AD">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格式符合第二章“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须知”第3.7款的要求，否则由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p w14:paraId="30BAD078">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编制</w:t>
            </w:r>
            <w:r>
              <w:rPr>
                <w:rFonts w:hint="eastAsia" w:ascii="宋体" w:hAnsi="宋体" w:eastAsia="宋体" w:cs="Times New Roman"/>
                <w:color w:val="auto"/>
                <w:kern w:val="0"/>
                <w:szCs w:val="21"/>
                <w:highlight w:val="none"/>
                <w:lang w:eastAsia="zh-CN"/>
              </w:rPr>
              <w:t>竞标文件</w:t>
            </w:r>
            <w:r>
              <w:rPr>
                <w:rFonts w:hint="eastAsia" w:ascii="宋体" w:hAnsi="宋体" w:eastAsia="宋体" w:cs="Times New Roman"/>
                <w:color w:val="auto"/>
                <w:kern w:val="0"/>
                <w:szCs w:val="21"/>
                <w:highlight w:val="none"/>
              </w:rPr>
              <w:t>时不得对第</w:t>
            </w:r>
            <w:r>
              <w:rPr>
                <w:rFonts w:hint="eastAsia" w:ascii="宋体" w:hAnsi="宋体" w:cs="Times New Roman"/>
                <w:color w:val="auto"/>
                <w:kern w:val="0"/>
                <w:szCs w:val="21"/>
                <w:highlight w:val="none"/>
                <w:lang w:val="en-US" w:eastAsia="zh-CN"/>
              </w:rPr>
              <w:t>六</w:t>
            </w:r>
            <w:r>
              <w:rPr>
                <w:rFonts w:hint="eastAsia" w:ascii="宋体" w:hAnsi="宋体" w:eastAsia="宋体" w:cs="Times New Roman"/>
                <w:color w:val="auto"/>
                <w:kern w:val="0"/>
                <w:szCs w:val="21"/>
                <w:highlight w:val="none"/>
              </w:rPr>
              <w:t>章“</w:t>
            </w:r>
            <w:r>
              <w:rPr>
                <w:rFonts w:hint="eastAsia" w:ascii="宋体" w:hAnsi="宋体" w:eastAsia="宋体" w:cs="Times New Roman"/>
                <w:color w:val="auto"/>
                <w:kern w:val="0"/>
                <w:szCs w:val="21"/>
                <w:highlight w:val="none"/>
                <w:lang w:eastAsia="zh-CN"/>
              </w:rPr>
              <w:t>竞标文件</w:t>
            </w:r>
            <w:r>
              <w:rPr>
                <w:rFonts w:hint="eastAsia" w:ascii="宋体" w:hAnsi="宋体" w:eastAsia="宋体" w:cs="Times New Roman"/>
                <w:color w:val="auto"/>
                <w:kern w:val="0"/>
                <w:szCs w:val="21"/>
                <w:highlight w:val="none"/>
              </w:rPr>
              <w:t>格式”的相应要素作实质性修改，否则由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作否决投标处理。</w:t>
            </w:r>
          </w:p>
        </w:tc>
      </w:tr>
      <w:tr w14:paraId="69388E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27562C5">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02F1F3D5">
            <w:pPr>
              <w:spacing w:line="400" w:lineRule="exact"/>
              <w:jc w:val="center"/>
              <w:rPr>
                <w:rFonts w:ascii="宋体" w:hAnsi="宋体" w:eastAsia="宋体" w:cs="Times New Roman"/>
                <w:color w:val="auto"/>
                <w:szCs w:val="21"/>
                <w:highlight w:val="none"/>
              </w:rPr>
            </w:pPr>
          </w:p>
        </w:tc>
        <w:tc>
          <w:tcPr>
            <w:tcW w:w="6333" w:type="dxa"/>
            <w:noWrap w:val="0"/>
            <w:vAlign w:val="top"/>
          </w:tcPr>
          <w:p w14:paraId="382D96CF">
            <w:pPr>
              <w:autoSpaceDE w:val="0"/>
              <w:autoSpaceDN w:val="0"/>
              <w:adjustRightInd w:val="0"/>
              <w:snapToGrid w:val="0"/>
              <w:spacing w:line="400" w:lineRule="exact"/>
              <w:ind w:firstLine="420" w:firstLineChars="200"/>
              <w:rPr>
                <w:rFonts w:ascii="宋体" w:hAnsi="宋体" w:eastAsia="宋体" w:cs="Times New Roman"/>
                <w:i/>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份数符合第二章“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须知”第3.7.4项的规定，</w:t>
            </w:r>
            <w:r>
              <w:rPr>
                <w:rFonts w:hint="eastAsia" w:ascii="宋体" w:hAnsi="宋体" w:eastAsia="宋体" w:cs="Times New Roman"/>
                <w:color w:val="auto"/>
                <w:kern w:val="0"/>
                <w:szCs w:val="21"/>
                <w:highlight w:val="none"/>
              </w:rPr>
              <w:t>否则由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作否决投标处理。</w:t>
            </w:r>
          </w:p>
        </w:tc>
      </w:tr>
      <w:tr w14:paraId="582132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EEDE986">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5C7D9677">
            <w:pPr>
              <w:spacing w:line="400" w:lineRule="exact"/>
              <w:jc w:val="center"/>
              <w:rPr>
                <w:rFonts w:ascii="宋体" w:hAnsi="宋体" w:eastAsia="宋体" w:cs="Times New Roman"/>
                <w:color w:val="auto"/>
                <w:szCs w:val="21"/>
                <w:highlight w:val="none"/>
              </w:rPr>
            </w:pPr>
          </w:p>
        </w:tc>
        <w:tc>
          <w:tcPr>
            <w:tcW w:w="6333" w:type="dxa"/>
            <w:noWrap w:val="0"/>
            <w:vAlign w:val="top"/>
          </w:tcPr>
          <w:p w14:paraId="68F09E11">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只能有一个有效报价。在招标文件没有规定的情况下，不得提交选择性报价，否则由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7D9971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DD84FE1">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488519D4">
            <w:pPr>
              <w:spacing w:line="400" w:lineRule="exact"/>
              <w:jc w:val="center"/>
              <w:rPr>
                <w:rFonts w:ascii="宋体" w:hAnsi="宋体" w:eastAsia="宋体" w:cs="Times New Roman"/>
                <w:color w:val="auto"/>
                <w:szCs w:val="21"/>
                <w:highlight w:val="none"/>
              </w:rPr>
            </w:pPr>
          </w:p>
        </w:tc>
        <w:tc>
          <w:tcPr>
            <w:tcW w:w="6333" w:type="dxa"/>
            <w:noWrap w:val="0"/>
            <w:vAlign w:val="top"/>
          </w:tcPr>
          <w:p w14:paraId="32803941">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9</w:t>
            </w:r>
            <w:r>
              <w:rPr>
                <w:rFonts w:hint="eastAsia" w:ascii="宋体" w:hAnsi="宋体" w:eastAsia="宋体" w:cs="宋体"/>
                <w:color w:val="auto"/>
                <w:kern w:val="0"/>
                <w:highlight w:val="none"/>
              </w:rPr>
              <w:t>第</w:t>
            </w:r>
            <w:r>
              <w:rPr>
                <w:rFonts w:hint="eastAsia" w:ascii="宋体" w:hAnsi="宋体" w:cs="宋体"/>
                <w:color w:val="auto"/>
                <w:kern w:val="0"/>
                <w:highlight w:val="none"/>
                <w:lang w:val="en-US" w:eastAsia="zh-CN"/>
              </w:rPr>
              <w:t>六</w:t>
            </w:r>
            <w:r>
              <w:rPr>
                <w:rFonts w:hint="eastAsia" w:ascii="宋体" w:hAnsi="宋体" w:eastAsia="宋体" w:cs="宋体"/>
                <w:color w:val="auto"/>
                <w:kern w:val="0"/>
                <w:highlight w:val="none"/>
              </w:rPr>
              <w:t xml:space="preserve">章 </w:t>
            </w:r>
            <w:r>
              <w:rPr>
                <w:rFonts w:hint="eastAsia" w:ascii="宋体" w:hAnsi="宋体" w:eastAsia="宋体" w:cs="宋体"/>
                <w:color w:val="auto"/>
                <w:kern w:val="0"/>
                <w:highlight w:val="none"/>
                <w:lang w:eastAsia="zh-CN"/>
              </w:rPr>
              <w:t>竞标文件</w:t>
            </w:r>
            <w:r>
              <w:rPr>
                <w:rFonts w:hint="eastAsia" w:ascii="宋体" w:hAnsi="宋体" w:eastAsia="宋体" w:cs="宋体"/>
                <w:color w:val="auto"/>
                <w:kern w:val="0"/>
                <w:highlight w:val="none"/>
              </w:rPr>
              <w:t>格式要求法定代表人或其委托代理人签名（或盖章）的须齐全。</w:t>
            </w:r>
          </w:p>
        </w:tc>
      </w:tr>
      <w:tr w14:paraId="4208F5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B5F6B69">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4A055B72">
            <w:pPr>
              <w:spacing w:line="400" w:lineRule="exact"/>
              <w:jc w:val="center"/>
              <w:rPr>
                <w:rFonts w:ascii="宋体" w:hAnsi="宋体" w:eastAsia="宋体" w:cs="Times New Roman"/>
                <w:color w:val="auto"/>
                <w:szCs w:val="21"/>
                <w:highlight w:val="none"/>
              </w:rPr>
            </w:pPr>
          </w:p>
        </w:tc>
        <w:tc>
          <w:tcPr>
            <w:tcW w:w="6333" w:type="dxa"/>
            <w:noWrap w:val="0"/>
            <w:vAlign w:val="top"/>
          </w:tcPr>
          <w:p w14:paraId="5D7FDBE4">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法定代表人的委托代理人有法定代表人签署的授权委托书，否则由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565FFB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1237" w:type="dxa"/>
            <w:vMerge w:val="continue"/>
            <w:noWrap w:val="0"/>
            <w:vAlign w:val="center"/>
          </w:tcPr>
          <w:p w14:paraId="036DD934">
            <w:pPr>
              <w:spacing w:line="400" w:lineRule="exact"/>
              <w:jc w:val="center"/>
              <w:rPr>
                <w:rFonts w:ascii="宋体" w:hAnsi="宋体" w:eastAsia="宋体" w:cs="Times New Roman"/>
                <w:color w:val="auto"/>
                <w:szCs w:val="21"/>
                <w:highlight w:val="none"/>
              </w:rPr>
            </w:pPr>
          </w:p>
        </w:tc>
        <w:tc>
          <w:tcPr>
            <w:tcW w:w="1899" w:type="dxa"/>
            <w:vMerge w:val="restart"/>
            <w:noWrap w:val="0"/>
            <w:vAlign w:val="center"/>
          </w:tcPr>
          <w:p w14:paraId="1D30B6D7">
            <w:pPr>
              <w:spacing w:line="40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响应性评审</w:t>
            </w:r>
          </w:p>
        </w:tc>
        <w:tc>
          <w:tcPr>
            <w:tcW w:w="6333" w:type="dxa"/>
            <w:noWrap w:val="0"/>
            <w:vAlign w:val="center"/>
          </w:tcPr>
          <w:p w14:paraId="4263D49C">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投标总报价不得高于</w:t>
            </w:r>
            <w:r>
              <w:rPr>
                <w:rFonts w:hint="eastAsia" w:ascii="宋体" w:hAnsi="宋体" w:eastAsia="宋体" w:cs="Times New Roman"/>
                <w:color w:val="auto"/>
                <w:szCs w:val="21"/>
                <w:highlight w:val="none"/>
                <w:lang w:eastAsia="zh-CN"/>
              </w:rPr>
              <w:t>比选人</w:t>
            </w:r>
            <w:r>
              <w:rPr>
                <w:rFonts w:hint="eastAsia" w:ascii="宋体" w:hAnsi="宋体" w:eastAsia="宋体" w:cs="Times New Roman"/>
                <w:color w:val="auto"/>
                <w:szCs w:val="21"/>
                <w:highlight w:val="none"/>
              </w:rPr>
              <w:t>公布的投标总报价最高限价，否则由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1ED184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237" w:type="dxa"/>
            <w:vMerge w:val="continue"/>
            <w:noWrap w:val="0"/>
            <w:vAlign w:val="center"/>
          </w:tcPr>
          <w:p w14:paraId="48C7F4C6">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452EFA73">
            <w:pPr>
              <w:spacing w:line="400" w:lineRule="exact"/>
              <w:jc w:val="center"/>
              <w:rPr>
                <w:rFonts w:ascii="宋体" w:hAnsi="宋体" w:eastAsia="宋体" w:cs="Times New Roman"/>
                <w:color w:val="auto"/>
                <w:szCs w:val="21"/>
                <w:highlight w:val="none"/>
              </w:rPr>
            </w:pPr>
          </w:p>
        </w:tc>
        <w:tc>
          <w:tcPr>
            <w:tcW w:w="6333" w:type="dxa"/>
            <w:noWrap w:val="0"/>
            <w:vAlign w:val="center"/>
          </w:tcPr>
          <w:p w14:paraId="3939A8AE">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投标内容符合第二章“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须知”第1.3.1项规定，否则由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47AC7A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032B6AC">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2CE2F103">
            <w:pPr>
              <w:spacing w:line="400" w:lineRule="exact"/>
              <w:jc w:val="center"/>
              <w:rPr>
                <w:rFonts w:ascii="宋体" w:hAnsi="宋体" w:eastAsia="宋体" w:cs="Times New Roman"/>
                <w:color w:val="auto"/>
                <w:szCs w:val="21"/>
                <w:highlight w:val="none"/>
              </w:rPr>
            </w:pPr>
          </w:p>
        </w:tc>
        <w:tc>
          <w:tcPr>
            <w:tcW w:w="6333" w:type="dxa"/>
            <w:noWrap w:val="0"/>
            <w:vAlign w:val="center"/>
          </w:tcPr>
          <w:p w14:paraId="17160C7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13</w:t>
            </w:r>
            <w:r>
              <w:rPr>
                <w:rFonts w:hint="eastAsia" w:ascii="宋体" w:hAnsi="宋体" w:eastAsia="宋体" w:cs="Times New Roman"/>
                <w:color w:val="auto"/>
                <w:szCs w:val="21"/>
                <w:highlight w:val="none"/>
              </w:rPr>
              <w:t>工期符合第二章“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须知”第1.3.2项规定，否则由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202228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0A461BD">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571F382F">
            <w:pPr>
              <w:spacing w:line="400" w:lineRule="exact"/>
              <w:jc w:val="center"/>
              <w:rPr>
                <w:rFonts w:ascii="宋体" w:hAnsi="宋体" w:eastAsia="宋体" w:cs="Times New Roman"/>
                <w:color w:val="auto"/>
                <w:szCs w:val="21"/>
                <w:highlight w:val="none"/>
              </w:rPr>
            </w:pPr>
          </w:p>
        </w:tc>
        <w:tc>
          <w:tcPr>
            <w:tcW w:w="6333" w:type="dxa"/>
            <w:noWrap w:val="0"/>
            <w:vAlign w:val="center"/>
          </w:tcPr>
          <w:p w14:paraId="5A025FCE">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14</w:t>
            </w:r>
            <w:r>
              <w:rPr>
                <w:rFonts w:hint="eastAsia" w:ascii="宋体" w:hAnsi="宋体" w:eastAsia="宋体" w:cs="Times New Roman"/>
                <w:color w:val="auto"/>
                <w:szCs w:val="21"/>
                <w:highlight w:val="none"/>
              </w:rPr>
              <w:t>工程质量符合第二章“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须知”第1.3.3项规定，否则由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51D05D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EF6001F">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0925B52C">
            <w:pPr>
              <w:spacing w:line="400" w:lineRule="exact"/>
              <w:jc w:val="center"/>
              <w:rPr>
                <w:rFonts w:ascii="宋体" w:hAnsi="宋体" w:eastAsia="宋体" w:cs="Times New Roman"/>
                <w:color w:val="auto"/>
                <w:szCs w:val="21"/>
                <w:highlight w:val="none"/>
              </w:rPr>
            </w:pPr>
          </w:p>
        </w:tc>
        <w:tc>
          <w:tcPr>
            <w:tcW w:w="6333" w:type="dxa"/>
            <w:noWrap w:val="0"/>
            <w:vAlign w:val="center"/>
          </w:tcPr>
          <w:p w14:paraId="2B319DFF">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15</w:t>
            </w:r>
            <w:r>
              <w:rPr>
                <w:rFonts w:hint="eastAsia" w:ascii="宋体" w:hAnsi="宋体" w:eastAsia="宋体" w:cs="Times New Roman"/>
                <w:color w:val="auto"/>
                <w:szCs w:val="21"/>
                <w:highlight w:val="none"/>
              </w:rPr>
              <w:t>投标有效期符合第二章“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须知”第3.3.1项规定，否则由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53FA67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BC41C09">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6A349785">
            <w:pPr>
              <w:spacing w:line="400" w:lineRule="exact"/>
              <w:jc w:val="center"/>
              <w:rPr>
                <w:rFonts w:ascii="宋体" w:hAnsi="宋体" w:eastAsia="宋体" w:cs="Times New Roman"/>
                <w:color w:val="auto"/>
                <w:szCs w:val="21"/>
                <w:highlight w:val="none"/>
              </w:rPr>
            </w:pPr>
          </w:p>
        </w:tc>
        <w:tc>
          <w:tcPr>
            <w:tcW w:w="6333" w:type="dxa"/>
            <w:noWrap w:val="0"/>
            <w:vAlign w:val="center"/>
          </w:tcPr>
          <w:p w14:paraId="1DC03E6A">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16</w:t>
            </w:r>
            <w:r>
              <w:rPr>
                <w:rFonts w:hint="eastAsia" w:ascii="宋体" w:hAnsi="宋体" w:eastAsia="宋体" w:cs="Times New Roman"/>
                <w:color w:val="auto"/>
                <w:szCs w:val="21"/>
                <w:highlight w:val="none"/>
                <w:lang w:eastAsia="zh-CN"/>
              </w:rPr>
              <w:t>竞标人</w:t>
            </w:r>
            <w:r>
              <w:rPr>
                <w:rFonts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竞标人</w:t>
            </w:r>
            <w:r>
              <w:rPr>
                <w:rFonts w:ascii="宋体" w:hAnsi="宋体" w:eastAsia="宋体" w:cs="Times New Roman"/>
                <w:color w:val="auto"/>
                <w:szCs w:val="21"/>
                <w:highlight w:val="none"/>
              </w:rPr>
              <w:t>须知前附表</w:t>
            </w:r>
            <w:r>
              <w:rPr>
                <w:rFonts w:hint="eastAsia" w:ascii="宋体" w:hAnsi="宋体" w:eastAsia="宋体" w:cs="Times New Roman"/>
                <w:color w:val="auto"/>
                <w:szCs w:val="21"/>
                <w:highlight w:val="none"/>
              </w:rPr>
              <w:t>第3.4款的</w:t>
            </w:r>
            <w:r>
              <w:rPr>
                <w:rFonts w:ascii="宋体" w:hAnsi="宋体" w:eastAsia="宋体" w:cs="Times New Roman"/>
                <w:color w:val="auto"/>
                <w:szCs w:val="21"/>
                <w:highlight w:val="none"/>
              </w:rPr>
              <w:t>规定递交投标保证金，并作为其</w:t>
            </w:r>
            <w:r>
              <w:rPr>
                <w:rFonts w:hint="eastAsia" w:ascii="宋体" w:hAnsi="宋体" w:eastAsia="宋体" w:cs="Times New Roman"/>
                <w:color w:val="auto"/>
                <w:szCs w:val="21"/>
                <w:highlight w:val="none"/>
                <w:lang w:eastAsia="zh-CN"/>
              </w:rPr>
              <w:t>竞标文件</w:t>
            </w:r>
            <w:r>
              <w:rPr>
                <w:rFonts w:ascii="宋体" w:hAnsi="宋体" w:eastAsia="宋体" w:cs="Times New Roman"/>
                <w:color w:val="auto"/>
                <w:szCs w:val="21"/>
                <w:highlight w:val="none"/>
              </w:rPr>
              <w:t>的组成部分</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否则</w:t>
            </w:r>
            <w:r>
              <w:rPr>
                <w:rFonts w:hint="eastAsia" w:ascii="宋体" w:hAnsi="宋体" w:eastAsia="宋体" w:cs="Times New Roman"/>
                <w:color w:val="auto"/>
                <w:szCs w:val="21"/>
                <w:highlight w:val="none"/>
              </w:rPr>
              <w:t>由</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作否决投标处理。</w:t>
            </w:r>
          </w:p>
        </w:tc>
      </w:tr>
      <w:tr w14:paraId="6A6F2C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C30929D">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14BF9827">
            <w:pPr>
              <w:spacing w:line="400" w:lineRule="exact"/>
              <w:jc w:val="center"/>
              <w:rPr>
                <w:rFonts w:ascii="宋体" w:hAnsi="宋体" w:eastAsia="宋体" w:cs="Times New Roman"/>
                <w:color w:val="auto"/>
                <w:szCs w:val="21"/>
                <w:highlight w:val="none"/>
              </w:rPr>
            </w:pPr>
          </w:p>
        </w:tc>
        <w:tc>
          <w:tcPr>
            <w:tcW w:w="6333" w:type="dxa"/>
            <w:noWrap w:val="0"/>
            <w:vAlign w:val="center"/>
          </w:tcPr>
          <w:p w14:paraId="383984B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17</w:t>
            </w:r>
            <w:r>
              <w:rPr>
                <w:rFonts w:hint="eastAsia" w:ascii="宋体" w:hAnsi="宋体" w:eastAsia="宋体" w:cs="Times New Roman"/>
                <w:color w:val="auto"/>
                <w:szCs w:val="21"/>
                <w:highlight w:val="none"/>
              </w:rPr>
              <w:t>符合第四章“合同条款及格式”规定，</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不应附有</w:t>
            </w:r>
            <w:r>
              <w:rPr>
                <w:rFonts w:hint="eastAsia" w:ascii="宋体" w:hAnsi="宋体" w:eastAsia="宋体" w:cs="Times New Roman"/>
                <w:color w:val="auto"/>
                <w:szCs w:val="21"/>
                <w:highlight w:val="none"/>
                <w:lang w:eastAsia="zh-CN"/>
              </w:rPr>
              <w:t>比选人</w:t>
            </w:r>
            <w:r>
              <w:rPr>
                <w:rFonts w:hint="eastAsia" w:ascii="宋体" w:hAnsi="宋体" w:eastAsia="宋体" w:cs="Times New Roman"/>
                <w:color w:val="auto"/>
                <w:szCs w:val="21"/>
                <w:highlight w:val="none"/>
              </w:rPr>
              <w:t>不能接受的条件，否则由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作否决投标处理。（由</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承诺，承诺书格式详见第</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章</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格式。）</w:t>
            </w:r>
          </w:p>
        </w:tc>
      </w:tr>
      <w:tr w14:paraId="26FB1C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C76F8CC">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7A6A21EB">
            <w:pPr>
              <w:spacing w:line="400" w:lineRule="exact"/>
              <w:jc w:val="center"/>
              <w:rPr>
                <w:rFonts w:ascii="宋体" w:hAnsi="宋体" w:eastAsia="宋体" w:cs="Times New Roman"/>
                <w:color w:val="auto"/>
                <w:szCs w:val="21"/>
                <w:highlight w:val="none"/>
              </w:rPr>
            </w:pPr>
          </w:p>
        </w:tc>
        <w:tc>
          <w:tcPr>
            <w:tcW w:w="6333" w:type="dxa"/>
            <w:noWrap w:val="0"/>
            <w:vAlign w:val="center"/>
          </w:tcPr>
          <w:p w14:paraId="3A2CF976">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18</w:t>
            </w:r>
            <w:r>
              <w:rPr>
                <w:rFonts w:hint="eastAsia" w:ascii="宋体" w:hAnsi="宋体" w:eastAsia="宋体" w:cs="Times New Roman"/>
                <w:color w:val="auto"/>
                <w:szCs w:val="21"/>
                <w:highlight w:val="none"/>
              </w:rPr>
              <w:t>符合第</w:t>
            </w:r>
            <w:r>
              <w:rPr>
                <w:rFonts w:hint="eastAsia" w:ascii="宋体" w:hAnsi="宋体" w:cs="Times New Roman"/>
                <w:color w:val="auto"/>
                <w:szCs w:val="21"/>
                <w:highlight w:val="none"/>
                <w:lang w:val="en-US" w:eastAsia="zh-CN"/>
              </w:rPr>
              <w:t>五</w:t>
            </w:r>
            <w:r>
              <w:rPr>
                <w:rFonts w:hint="eastAsia" w:ascii="宋体" w:hAnsi="宋体" w:eastAsia="宋体" w:cs="Times New Roman"/>
                <w:color w:val="auto"/>
                <w:szCs w:val="21"/>
                <w:highlight w:val="none"/>
              </w:rPr>
              <w:t>章“技术标准和要求”规定。否则由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作否决投标处理（如有）。（由</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承诺，承诺书格式详见第</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章</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格式。）</w:t>
            </w:r>
          </w:p>
        </w:tc>
      </w:tr>
      <w:tr w14:paraId="6E385B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1237" w:type="dxa"/>
            <w:vMerge w:val="continue"/>
            <w:noWrap w:val="0"/>
            <w:vAlign w:val="center"/>
          </w:tcPr>
          <w:p w14:paraId="2A68C39B">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03DEC04F">
            <w:pPr>
              <w:spacing w:line="400" w:lineRule="exact"/>
              <w:jc w:val="center"/>
              <w:rPr>
                <w:rFonts w:ascii="宋体" w:hAnsi="宋体" w:eastAsia="宋体" w:cs="Times New Roman"/>
                <w:color w:val="auto"/>
                <w:szCs w:val="21"/>
                <w:highlight w:val="none"/>
              </w:rPr>
            </w:pPr>
          </w:p>
        </w:tc>
        <w:tc>
          <w:tcPr>
            <w:tcW w:w="6333" w:type="dxa"/>
            <w:noWrap w:val="0"/>
            <w:vAlign w:val="center"/>
          </w:tcPr>
          <w:p w14:paraId="7514C942">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lang w:eastAsia="zh-CN"/>
              </w:rPr>
              <w:t>竞标报价</w:t>
            </w:r>
            <w:r>
              <w:rPr>
                <w:rFonts w:hint="eastAsia" w:ascii="宋体" w:hAnsi="宋体" w:eastAsia="宋体" w:cs="Times New Roman"/>
                <w:color w:val="auto"/>
                <w:szCs w:val="21"/>
                <w:highlight w:val="none"/>
              </w:rPr>
              <w:t>有算术错误的，按照第三章“评标办法”第3.1.3项规定执行，否则由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r>
              <w:rPr>
                <w:rFonts w:ascii="宋体" w:hAnsi="宋体" w:eastAsia="宋体" w:cs="Times New Roman"/>
                <w:color w:val="auto"/>
                <w:szCs w:val="21"/>
                <w:highlight w:val="none"/>
              </w:rPr>
              <w:t>。</w:t>
            </w:r>
          </w:p>
        </w:tc>
      </w:tr>
      <w:tr w14:paraId="130F12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A26E305">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2306B531">
            <w:pPr>
              <w:spacing w:line="400" w:lineRule="exact"/>
              <w:jc w:val="center"/>
              <w:rPr>
                <w:rFonts w:ascii="宋体" w:hAnsi="宋体" w:eastAsia="宋体" w:cs="Times New Roman"/>
                <w:color w:val="auto"/>
                <w:szCs w:val="21"/>
                <w:highlight w:val="none"/>
              </w:rPr>
            </w:pPr>
          </w:p>
        </w:tc>
        <w:tc>
          <w:tcPr>
            <w:tcW w:w="6333" w:type="dxa"/>
            <w:noWrap w:val="0"/>
            <w:vAlign w:val="center"/>
          </w:tcPr>
          <w:p w14:paraId="00749EB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有以下情形之一的，其</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由</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作否决投标处理</w:t>
            </w:r>
            <w:r>
              <w:rPr>
                <w:rFonts w:hint="eastAsia" w:ascii="宋体" w:hAnsi="宋体" w:eastAsia="宋体" w:cs="Times New Roman"/>
                <w:color w:val="auto"/>
                <w:szCs w:val="21"/>
                <w:highlight w:val="none"/>
              </w:rPr>
              <w:t>：</w:t>
            </w:r>
          </w:p>
          <w:p w14:paraId="1A9AF2FE">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须知”第1.4.3项规定的任何一种情形的；</w:t>
            </w:r>
          </w:p>
          <w:p w14:paraId="283B839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2.本次投标有串通投标、弄虚作假等违反招投标相关法律、法规的行为的；</w:t>
            </w:r>
          </w:p>
          <w:p w14:paraId="41EDBE8C">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3.拒绝按</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要求澄清、说明或补正的。</w:t>
            </w:r>
          </w:p>
        </w:tc>
      </w:tr>
      <w:tr w14:paraId="1EBD8F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3C424783">
            <w:pPr>
              <w:spacing w:line="400" w:lineRule="exact"/>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其他</w:t>
            </w:r>
          </w:p>
        </w:tc>
        <w:tc>
          <w:tcPr>
            <w:tcW w:w="1899" w:type="dxa"/>
            <w:noWrap w:val="0"/>
            <w:vAlign w:val="center"/>
          </w:tcPr>
          <w:p w14:paraId="7DE34455">
            <w:pPr>
              <w:spacing w:line="400" w:lineRule="exact"/>
              <w:jc w:val="center"/>
              <w:rPr>
                <w:rFonts w:ascii="宋体" w:hAnsi="宋体" w:eastAsia="宋体" w:cs="Times New Roman"/>
                <w:color w:val="auto"/>
                <w:szCs w:val="21"/>
                <w:highlight w:val="none"/>
              </w:rPr>
            </w:pPr>
          </w:p>
        </w:tc>
        <w:tc>
          <w:tcPr>
            <w:tcW w:w="6333" w:type="dxa"/>
            <w:noWrap w:val="0"/>
            <w:vAlign w:val="top"/>
          </w:tcPr>
          <w:p w14:paraId="5AB9325B">
            <w:pPr>
              <w:spacing w:line="400" w:lineRule="exact"/>
              <w:ind w:firstLine="420" w:firstLineChars="200"/>
              <w:rPr>
                <w:rFonts w:hint="eastAsia" w:ascii="宋体" w:hAnsi="宋体" w:eastAsia="宋体" w:cs="Times New Roman"/>
                <w:i/>
                <w:color w:val="auto"/>
                <w:szCs w:val="21"/>
                <w:highlight w:val="none"/>
                <w:lang w:eastAsia="zh-CN"/>
              </w:rPr>
            </w:pPr>
            <w:r>
              <w:rPr>
                <w:rFonts w:hint="eastAsia" w:ascii="宋体" w:hAnsi="宋体" w:eastAsia="宋体" w:cs="Times New Roman"/>
                <w:i w:val="0"/>
                <w:iCs/>
                <w:color w:val="auto"/>
                <w:szCs w:val="21"/>
                <w:highlight w:val="none"/>
                <w:lang w:val="en-US" w:eastAsia="zh-CN"/>
              </w:rPr>
              <w:t>无</w:t>
            </w:r>
          </w:p>
        </w:tc>
      </w:tr>
    </w:tbl>
    <w:p w14:paraId="2902A28B">
      <w:pPr>
        <w:rPr>
          <w:rFonts w:hint="eastAsia" w:ascii="宋体" w:hAnsi="宋体"/>
          <w:color w:val="auto"/>
          <w:kern w:val="0"/>
          <w:highlight w:val="none"/>
        </w:rPr>
      </w:pPr>
      <w:r>
        <w:rPr>
          <w:rFonts w:hint="eastAsia" w:ascii="宋体" w:hAnsi="宋体"/>
          <w:color w:val="auto"/>
          <w:kern w:val="0"/>
          <w:highlight w:val="none"/>
        </w:rPr>
        <w:br w:type="page"/>
      </w:r>
    </w:p>
    <w:p w14:paraId="50AAB0CD">
      <w:pPr>
        <w:pStyle w:val="4"/>
        <w:spacing w:line="360" w:lineRule="auto"/>
        <w:jc w:val="center"/>
        <w:rPr>
          <w:rFonts w:ascii="宋体" w:hAnsi="宋体"/>
          <w:color w:val="auto"/>
          <w:kern w:val="0"/>
          <w:highlight w:val="none"/>
        </w:rPr>
      </w:pPr>
      <w:bookmarkStart w:id="463" w:name="_Toc16777"/>
      <w:r>
        <w:rPr>
          <w:rFonts w:hint="eastAsia" w:ascii="宋体" w:hAnsi="宋体"/>
          <w:color w:val="auto"/>
          <w:kern w:val="0"/>
          <w:highlight w:val="none"/>
        </w:rPr>
        <w:t>第四章  合同条款及格式</w:t>
      </w:r>
      <w:bookmarkEnd w:id="367"/>
      <w:bookmarkEnd w:id="368"/>
      <w:bookmarkEnd w:id="369"/>
      <w:bookmarkEnd w:id="463"/>
    </w:p>
    <w:p w14:paraId="07B22634">
      <w:pPr>
        <w:bidi w:val="0"/>
        <w:rPr>
          <w:rFonts w:hint="eastAsia" w:asciiTheme="minorEastAsia" w:hAnsiTheme="minorEastAsia" w:eastAsiaTheme="minorEastAsia" w:cstheme="minorEastAsia"/>
          <w:color w:val="auto"/>
          <w:highlight w:val="none"/>
          <w:lang w:val="en-US" w:eastAsia="zh-CN"/>
        </w:rPr>
      </w:pPr>
      <w:r>
        <w:rPr>
          <w:rFonts w:ascii="宋体" w:hAnsi="宋体"/>
          <w:color w:val="auto"/>
          <w:highlight w:val="none"/>
        </w:rPr>
        <w:br w:type="page"/>
      </w:r>
      <w:bookmarkStart w:id="464" w:name="招标文件06章图纸01"/>
      <w:bookmarkEnd w:id="464"/>
      <w:bookmarkStart w:id="465" w:name="_Toc287620804"/>
      <w:bookmarkStart w:id="466" w:name="_Toc430530520"/>
      <w:bookmarkStart w:id="467" w:name="_Toc351203480"/>
      <w:bookmarkStart w:id="468" w:name="_Toc296890982"/>
      <w:bookmarkStart w:id="469" w:name="_Toc296503025"/>
      <w:r>
        <w:rPr>
          <w:rFonts w:hint="eastAsia" w:asciiTheme="minorEastAsia" w:hAnsiTheme="minorEastAsia" w:eastAsiaTheme="minorEastAsia" w:cstheme="minorEastAsia"/>
          <w:color w:val="auto"/>
          <w:sz w:val="28"/>
          <w:szCs w:val="28"/>
          <w:highlight w:val="none"/>
          <w:lang w:val="en-US" w:eastAsia="zh-CN"/>
        </w:rPr>
        <w:t>合同编号：</w:t>
      </w:r>
    </w:p>
    <w:p w14:paraId="0EB4A982">
      <w:pPr>
        <w:pStyle w:val="4"/>
        <w:bidi w:val="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cstheme="minorEastAsia"/>
          <w:color w:val="auto"/>
          <w:highlight w:val="none"/>
          <w:lang w:val="en-US" w:eastAsia="zh-CN"/>
        </w:rPr>
        <w:t>迎龙小院保安、保洁、维修服务及会议服务采购</w:t>
      </w:r>
      <w:r>
        <w:rPr>
          <w:rFonts w:hint="eastAsia" w:asciiTheme="minorEastAsia" w:hAnsiTheme="minorEastAsia" w:eastAsiaTheme="minorEastAsia" w:cstheme="minorEastAsia"/>
          <w:color w:val="auto"/>
          <w:highlight w:val="none"/>
          <w:lang w:val="en-US" w:eastAsia="zh-CN"/>
        </w:rPr>
        <w:t>合同</w:t>
      </w:r>
    </w:p>
    <w:p w14:paraId="199A17F6">
      <w:pPr>
        <w:jc w:val="center"/>
        <w:rPr>
          <w:rFonts w:hint="eastAsia" w:ascii="方正公文小标宋" w:hAnsi="方正公文小标宋" w:eastAsia="方正公文小标宋" w:cs="方正公文小标宋"/>
          <w:b w:val="0"/>
          <w:bCs/>
          <w:sz w:val="44"/>
          <w:szCs w:val="44"/>
        </w:rPr>
      </w:pPr>
    </w:p>
    <w:p w14:paraId="202EE7FA">
      <w:pPr>
        <w:jc w:val="center"/>
        <w:rPr>
          <w:rFonts w:hint="eastAsia" w:ascii="宋体" w:hAnsi="宋体"/>
          <w:sz w:val="28"/>
          <w:szCs w:val="28"/>
        </w:rPr>
      </w:pPr>
    </w:p>
    <w:p w14:paraId="704DAFC0">
      <w:pPr>
        <w:jc w:val="center"/>
        <w:rPr>
          <w:rFonts w:hint="eastAsia" w:ascii="宋体" w:hAnsi="宋体"/>
          <w:sz w:val="28"/>
          <w:szCs w:val="28"/>
        </w:rPr>
      </w:pPr>
    </w:p>
    <w:p w14:paraId="38A62355">
      <w:pPr>
        <w:jc w:val="center"/>
        <w:rPr>
          <w:rFonts w:ascii="宋体" w:hAnsi="宋体"/>
          <w:sz w:val="28"/>
          <w:szCs w:val="28"/>
        </w:rPr>
      </w:pPr>
    </w:p>
    <w:p w14:paraId="766410BE">
      <w:pPr>
        <w:spacing w:line="360" w:lineRule="auto"/>
        <w:ind w:firstLine="643" w:firstLineChars="200"/>
        <w:rPr>
          <w:rFonts w:hint="eastAsia" w:ascii="宋体" w:hAnsi="宋体" w:eastAsia="宋体" w:cs="宋体"/>
          <w:b/>
          <w:sz w:val="32"/>
          <w:szCs w:val="32"/>
          <w:lang w:val="en-US" w:eastAsia="zh-CN"/>
        </w:rPr>
      </w:pPr>
      <w:r>
        <w:rPr>
          <w:rFonts w:hint="eastAsia" w:ascii="宋体" w:hAnsi="宋体" w:eastAsia="宋体" w:cs="宋体"/>
          <w:b/>
          <w:sz w:val="32"/>
          <w:szCs w:val="32"/>
        </w:rPr>
        <w:t xml:space="preserve">甲方： </w:t>
      </w:r>
      <w:r>
        <w:rPr>
          <w:rFonts w:hint="eastAsia" w:ascii="宋体" w:hAnsi="宋体" w:eastAsia="宋体" w:cs="宋体"/>
          <w:b/>
          <w:sz w:val="32"/>
          <w:szCs w:val="32"/>
          <w:lang w:val="en-US" w:eastAsia="zh-CN"/>
        </w:rPr>
        <w:t>重庆广阳岛生态城实业发展有限公司</w:t>
      </w:r>
    </w:p>
    <w:p w14:paraId="6121BAD1">
      <w:pPr>
        <w:spacing w:line="360" w:lineRule="auto"/>
        <w:ind w:firstLine="643" w:firstLineChars="200"/>
        <w:rPr>
          <w:rFonts w:hint="eastAsia" w:ascii="宋体" w:hAnsi="宋体" w:eastAsia="宋体" w:cs="宋体"/>
          <w:b/>
          <w:sz w:val="32"/>
          <w:szCs w:val="32"/>
          <w:lang w:val="en-US" w:eastAsia="zh-CN"/>
        </w:rPr>
      </w:pPr>
      <w:r>
        <w:rPr>
          <w:rFonts w:hint="eastAsia" w:ascii="宋体" w:hAnsi="宋体" w:eastAsia="宋体" w:cs="宋体"/>
          <w:b/>
          <w:sz w:val="32"/>
          <w:szCs w:val="32"/>
        </w:rPr>
        <w:t xml:space="preserve">地址： </w:t>
      </w:r>
      <w:r>
        <w:rPr>
          <w:rFonts w:hint="eastAsia" w:ascii="宋体" w:hAnsi="宋体" w:eastAsia="宋体" w:cs="宋体"/>
          <w:b/>
          <w:sz w:val="32"/>
          <w:szCs w:val="32"/>
          <w:lang w:val="en-US" w:eastAsia="zh-CN"/>
        </w:rPr>
        <w:t>重庆市南岸区江桥路1号附1号</w:t>
      </w:r>
    </w:p>
    <w:p w14:paraId="7CFAD49A">
      <w:pPr>
        <w:spacing w:line="360" w:lineRule="auto"/>
        <w:ind w:firstLine="643" w:firstLineChars="200"/>
        <w:rPr>
          <w:rFonts w:hint="eastAsia" w:ascii="宋体" w:hAnsi="宋体" w:eastAsia="宋体" w:cs="宋体"/>
          <w:b/>
          <w:sz w:val="32"/>
          <w:szCs w:val="32"/>
          <w:lang w:val="en-US" w:eastAsia="zh-CN"/>
        </w:rPr>
      </w:pPr>
      <w:r>
        <w:rPr>
          <w:rFonts w:hint="eastAsia" w:ascii="宋体" w:hAnsi="宋体" w:eastAsia="宋体" w:cs="宋体"/>
          <w:b/>
          <w:sz w:val="32"/>
          <w:szCs w:val="32"/>
        </w:rPr>
        <w:t>联系电话：</w:t>
      </w:r>
      <w:r>
        <w:rPr>
          <w:rFonts w:hint="eastAsia" w:ascii="宋体" w:hAnsi="宋体" w:eastAsia="宋体" w:cs="宋体"/>
          <w:b/>
          <w:sz w:val="32"/>
          <w:szCs w:val="32"/>
          <w:lang w:val="en-US" w:eastAsia="zh-CN"/>
        </w:rPr>
        <w:t>62825536</w:t>
      </w:r>
    </w:p>
    <w:p w14:paraId="6BC3875C">
      <w:pPr>
        <w:spacing w:line="360" w:lineRule="auto"/>
        <w:rPr>
          <w:rFonts w:hint="eastAsia" w:ascii="宋体" w:hAnsi="宋体" w:eastAsia="宋体" w:cs="宋体"/>
          <w:b/>
          <w:sz w:val="32"/>
          <w:szCs w:val="32"/>
        </w:rPr>
      </w:pPr>
    </w:p>
    <w:p w14:paraId="541E0C5F">
      <w:pPr>
        <w:tabs>
          <w:tab w:val="left" w:pos="720"/>
          <w:tab w:val="left" w:pos="4935"/>
          <w:tab w:val="left" w:pos="5250"/>
        </w:tabs>
        <w:spacing w:line="360" w:lineRule="auto"/>
        <w:ind w:left="8541" w:leftChars="319" w:hanging="7871" w:hangingChars="2450"/>
        <w:rPr>
          <w:rFonts w:hint="eastAsia" w:ascii="宋体" w:hAnsi="宋体" w:eastAsia="宋体" w:cs="宋体"/>
          <w:b/>
          <w:sz w:val="32"/>
          <w:szCs w:val="32"/>
        </w:rPr>
      </w:pPr>
      <w:r>
        <w:rPr>
          <w:rFonts w:hint="eastAsia" w:ascii="宋体" w:hAnsi="宋体" w:eastAsia="宋体" w:cs="宋体"/>
          <w:b/>
          <w:sz w:val="32"/>
          <w:szCs w:val="32"/>
        </w:rPr>
        <w:t>乙方：</w:t>
      </w:r>
    </w:p>
    <w:p w14:paraId="5CC8E633">
      <w:pPr>
        <w:spacing w:line="360"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法定代表人：</w:t>
      </w:r>
    </w:p>
    <w:p w14:paraId="7BA1FC51">
      <w:pPr>
        <w:tabs>
          <w:tab w:val="left" w:pos="720"/>
        </w:tabs>
        <w:spacing w:line="360" w:lineRule="auto"/>
        <w:ind w:left="9321" w:leftChars="304" w:hanging="8683" w:hangingChars="2703"/>
        <w:rPr>
          <w:rFonts w:hint="eastAsia" w:ascii="宋体" w:hAnsi="宋体" w:eastAsia="宋体" w:cs="宋体"/>
          <w:b/>
          <w:sz w:val="32"/>
          <w:szCs w:val="32"/>
        </w:rPr>
      </w:pPr>
      <w:r>
        <w:rPr>
          <w:rFonts w:hint="eastAsia" w:ascii="宋体" w:hAnsi="宋体" w:eastAsia="宋体" w:cs="宋体"/>
          <w:b/>
          <w:sz w:val="32"/>
          <w:szCs w:val="32"/>
        </w:rPr>
        <w:t>地址：</w:t>
      </w:r>
    </w:p>
    <w:p w14:paraId="09D9A5B0">
      <w:pPr>
        <w:tabs>
          <w:tab w:val="left" w:pos="720"/>
        </w:tabs>
        <w:spacing w:line="360" w:lineRule="auto"/>
        <w:ind w:left="9321" w:leftChars="304" w:hanging="8683" w:hangingChars="2703"/>
        <w:rPr>
          <w:rFonts w:hint="eastAsia" w:ascii="宋体" w:hAnsi="宋体" w:eastAsia="宋体" w:cs="宋体"/>
          <w:b/>
          <w:sz w:val="32"/>
          <w:szCs w:val="32"/>
        </w:rPr>
      </w:pPr>
      <w:r>
        <w:rPr>
          <w:rFonts w:hint="eastAsia" w:ascii="宋体" w:hAnsi="宋体" w:eastAsia="宋体" w:cs="宋体"/>
          <w:b/>
          <w:sz w:val="32"/>
          <w:szCs w:val="32"/>
        </w:rPr>
        <w:t>联系电话：</w:t>
      </w:r>
    </w:p>
    <w:p w14:paraId="742318BF">
      <w:pPr>
        <w:spacing w:line="360" w:lineRule="auto"/>
        <w:rPr>
          <w:rFonts w:hint="eastAsia"/>
          <w:sz w:val="32"/>
          <w:szCs w:val="32"/>
        </w:rPr>
      </w:pPr>
    </w:p>
    <w:p w14:paraId="008B0BEC">
      <w:pPr>
        <w:spacing w:line="360" w:lineRule="auto"/>
        <w:jc w:val="both"/>
        <w:rPr>
          <w:rFonts w:hint="eastAsia" w:ascii="黑体" w:eastAsia="黑体"/>
          <w:sz w:val="32"/>
          <w:szCs w:val="32"/>
          <w:u w:val="single"/>
        </w:rPr>
      </w:pPr>
    </w:p>
    <w:p w14:paraId="05881F7E">
      <w:pPr>
        <w:spacing w:line="360" w:lineRule="auto"/>
        <w:jc w:val="center"/>
        <w:rPr>
          <w:rFonts w:hint="eastAsia" w:ascii="黑体" w:eastAsia="黑体"/>
          <w:sz w:val="32"/>
          <w:szCs w:val="32"/>
        </w:rPr>
      </w:pPr>
      <w:r>
        <w:rPr>
          <w:rFonts w:hint="eastAsia" w:ascii="黑体" w:eastAsia="黑体"/>
          <w:sz w:val="32"/>
          <w:szCs w:val="32"/>
          <w:u w:val="single"/>
        </w:rPr>
        <w:t xml:space="preserve">     </w:t>
      </w:r>
      <w:r>
        <w:rPr>
          <w:rFonts w:hint="eastAsia" w:ascii="黑体" w:eastAsia="黑体"/>
          <w:sz w:val="32"/>
          <w:szCs w:val="32"/>
        </w:rPr>
        <w:t>年</w:t>
      </w:r>
      <w:r>
        <w:rPr>
          <w:rFonts w:hint="eastAsia" w:ascii="黑体" w:eastAsia="黑体"/>
          <w:sz w:val="32"/>
          <w:szCs w:val="32"/>
          <w:u w:val="single"/>
        </w:rPr>
        <w:t xml:space="preserve">     </w:t>
      </w:r>
      <w:r>
        <w:rPr>
          <w:rFonts w:hint="eastAsia" w:ascii="黑体" w:eastAsia="黑体"/>
          <w:sz w:val="32"/>
          <w:szCs w:val="32"/>
        </w:rPr>
        <w:t>月</w:t>
      </w:r>
      <w:r>
        <w:rPr>
          <w:rFonts w:hint="eastAsia" w:ascii="黑体" w:eastAsia="黑体"/>
          <w:sz w:val="32"/>
          <w:szCs w:val="32"/>
          <w:u w:val="single"/>
        </w:rPr>
        <w:t xml:space="preserve">     </w:t>
      </w:r>
      <w:r>
        <w:rPr>
          <w:rFonts w:hint="eastAsia" w:ascii="黑体" w:eastAsia="黑体"/>
          <w:sz w:val="32"/>
          <w:szCs w:val="32"/>
        </w:rPr>
        <w:t>日</w:t>
      </w:r>
    </w:p>
    <w:p w14:paraId="1AB8C370">
      <w:pPr>
        <w:rPr>
          <w:sz w:val="36"/>
          <w:szCs w:val="36"/>
        </w:rPr>
      </w:pPr>
    </w:p>
    <w:p w14:paraId="0AE36775">
      <w:pPr>
        <w:pStyle w:val="2"/>
        <w:ind w:left="0" w:leftChars="0" w:firstLine="0" w:firstLineChars="0"/>
        <w:rPr>
          <w:rFonts w:hint="eastAsia"/>
        </w:rPr>
      </w:pPr>
    </w:p>
    <w:p w14:paraId="139657DC">
      <w:pPr>
        <w:adjustRightInd w:val="0"/>
        <w:snapToGrid w:val="0"/>
        <w:spacing w:line="360" w:lineRule="auto"/>
        <w:ind w:firstLine="480" w:firstLineChars="200"/>
        <w:rPr>
          <w:rFonts w:hint="eastAsia" w:ascii="宋体" w:hAnsi="宋体"/>
          <w:snapToGrid w:val="0"/>
          <w:kern w:val="0"/>
          <w:sz w:val="24"/>
          <w:szCs w:val="24"/>
        </w:rPr>
      </w:pPr>
    </w:p>
    <w:p w14:paraId="6E56CBDF">
      <w:pPr>
        <w:adjustRightInd w:val="0"/>
        <w:snapToGrid w:val="0"/>
        <w:spacing w:line="360" w:lineRule="auto"/>
        <w:ind w:firstLine="480" w:firstLineChars="200"/>
        <w:rPr>
          <w:rFonts w:hint="eastAsia" w:ascii="宋体" w:hAnsi="宋体"/>
          <w:snapToGrid w:val="0"/>
          <w:kern w:val="0"/>
          <w:sz w:val="24"/>
          <w:szCs w:val="24"/>
          <w:highlight w:val="none"/>
        </w:rPr>
      </w:pPr>
    </w:p>
    <w:p w14:paraId="28EC7DA5">
      <w:pPr>
        <w:adjustRightInd w:val="0"/>
        <w:snapToGrid w:val="0"/>
        <w:spacing w:line="360" w:lineRule="auto"/>
        <w:ind w:firstLine="480" w:firstLineChars="200"/>
        <w:rPr>
          <w:rFonts w:ascii="宋体" w:hAnsi="宋体"/>
          <w:snapToGrid w:val="0"/>
          <w:kern w:val="0"/>
          <w:sz w:val="24"/>
          <w:szCs w:val="24"/>
          <w:highlight w:val="none"/>
        </w:rPr>
      </w:pPr>
      <w:r>
        <w:rPr>
          <w:rFonts w:hint="eastAsia" w:ascii="宋体" w:hAnsi="宋体"/>
          <w:snapToGrid w:val="0"/>
          <w:kern w:val="0"/>
          <w:sz w:val="24"/>
          <w:szCs w:val="24"/>
          <w:highlight w:val="none"/>
        </w:rPr>
        <w:t>根据《中华人民共和国民法典》及有关法律、法规的规定，甲乙双方遵循平等自愿、协商一致和诚实信用的原则，</w:t>
      </w:r>
      <w:r>
        <w:rPr>
          <w:rFonts w:hint="eastAsia"/>
          <w:sz w:val="24"/>
          <w:szCs w:val="24"/>
          <w:highlight w:val="none"/>
        </w:rPr>
        <w:t>签订本合同</w:t>
      </w:r>
      <w:r>
        <w:rPr>
          <w:rFonts w:hint="eastAsia" w:ascii="宋体" w:hAnsi="宋体"/>
          <w:snapToGrid w:val="0"/>
          <w:kern w:val="0"/>
          <w:sz w:val="24"/>
          <w:szCs w:val="24"/>
          <w:highlight w:val="none"/>
        </w:rPr>
        <w:t>。</w:t>
      </w:r>
    </w:p>
    <w:p w14:paraId="651AA96F">
      <w:pPr>
        <w:adjustRightInd w:val="0"/>
        <w:snapToGrid w:val="0"/>
        <w:spacing w:line="360" w:lineRule="auto"/>
        <w:ind w:firstLine="482" w:firstLineChars="200"/>
        <w:rPr>
          <w:rFonts w:ascii="宋体" w:hAnsi="宋体"/>
          <w:b/>
          <w:snapToGrid w:val="0"/>
          <w:kern w:val="0"/>
          <w:sz w:val="24"/>
          <w:szCs w:val="24"/>
          <w:highlight w:val="none"/>
        </w:rPr>
      </w:pPr>
      <w:r>
        <w:rPr>
          <w:rFonts w:hint="eastAsia" w:ascii="宋体" w:hAnsi="宋体"/>
          <w:b/>
          <w:snapToGrid w:val="0"/>
          <w:kern w:val="0"/>
          <w:sz w:val="24"/>
          <w:szCs w:val="24"/>
          <w:highlight w:val="none"/>
        </w:rPr>
        <w:t>第一条 服务范围</w:t>
      </w:r>
    </w:p>
    <w:p w14:paraId="16378507">
      <w:pPr>
        <w:adjustRightInd w:val="0"/>
        <w:snapToGrid w:val="0"/>
        <w:spacing w:line="360" w:lineRule="auto"/>
        <w:ind w:firstLine="480" w:firstLineChars="200"/>
        <w:rPr>
          <w:rFonts w:hint="eastAsia" w:ascii="宋体" w:hAnsi="宋体"/>
          <w:snapToGrid w:val="0"/>
          <w:kern w:val="0"/>
          <w:sz w:val="24"/>
          <w:szCs w:val="24"/>
          <w:highlight w:val="none"/>
        </w:rPr>
      </w:pPr>
      <w:r>
        <w:rPr>
          <w:rFonts w:hint="eastAsia" w:ascii="宋体" w:hAnsi="宋体"/>
          <w:snapToGrid w:val="0"/>
          <w:kern w:val="0"/>
          <w:sz w:val="24"/>
          <w:szCs w:val="24"/>
          <w:highlight w:val="none"/>
        </w:rPr>
        <w:t>甲方与乙方签订</w:t>
      </w:r>
      <w:r>
        <w:rPr>
          <w:rFonts w:hint="eastAsia" w:ascii="宋体" w:hAnsi="宋体"/>
          <w:snapToGrid w:val="0"/>
          <w:kern w:val="0"/>
          <w:sz w:val="24"/>
          <w:szCs w:val="24"/>
          <w:highlight w:val="none"/>
          <w:lang w:val="en-US" w:eastAsia="zh-CN"/>
        </w:rPr>
        <w:t>保安、保洁、会务服务合同</w:t>
      </w:r>
      <w:r>
        <w:rPr>
          <w:rFonts w:hint="eastAsia" w:ascii="宋体" w:hAnsi="宋体"/>
          <w:snapToGrid w:val="0"/>
          <w:kern w:val="0"/>
          <w:sz w:val="24"/>
          <w:szCs w:val="24"/>
          <w:highlight w:val="none"/>
        </w:rPr>
        <w:t>，为甲方</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u w:val="single"/>
          <w:lang w:val="en-US" w:eastAsia="zh-CN"/>
        </w:rPr>
        <w:t xml:space="preserve">迎龙小院 </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rPr>
        <w:t>项目提供</w:t>
      </w:r>
      <w:r>
        <w:rPr>
          <w:rFonts w:hint="eastAsia" w:ascii="宋体" w:hAnsi="宋体"/>
          <w:snapToGrid w:val="0"/>
          <w:kern w:val="0"/>
          <w:sz w:val="24"/>
          <w:szCs w:val="24"/>
          <w:highlight w:val="none"/>
          <w:lang w:val="en-US" w:eastAsia="zh-CN"/>
        </w:rPr>
        <w:t>保安、保洁、会务</w:t>
      </w:r>
      <w:r>
        <w:rPr>
          <w:rFonts w:hint="eastAsia" w:ascii="宋体" w:hAnsi="宋体"/>
          <w:snapToGrid w:val="0"/>
          <w:kern w:val="0"/>
          <w:sz w:val="24"/>
          <w:szCs w:val="24"/>
          <w:highlight w:val="none"/>
        </w:rPr>
        <w:t>服务，具体服务内容为：项目所在地会议室、展厅、客房、停车场的保洁工作和水池的清理工作；设施设备的一般维修工作；停车管理、出入管理、安全管理等安保工作；会场布置及展厅讲解。</w:t>
      </w:r>
    </w:p>
    <w:p w14:paraId="24E747F6">
      <w:pPr>
        <w:adjustRightInd w:val="0"/>
        <w:snapToGrid w:val="0"/>
        <w:spacing w:line="360" w:lineRule="auto"/>
        <w:ind w:firstLine="482" w:firstLineChars="200"/>
        <w:rPr>
          <w:rFonts w:ascii="宋体" w:hAnsi="宋体"/>
          <w:b/>
          <w:snapToGrid w:val="0"/>
          <w:kern w:val="0"/>
          <w:sz w:val="24"/>
          <w:szCs w:val="24"/>
          <w:highlight w:val="none"/>
        </w:rPr>
      </w:pPr>
      <w:r>
        <w:rPr>
          <w:rFonts w:hint="eastAsia" w:ascii="宋体" w:hAnsi="宋体"/>
          <w:b/>
          <w:snapToGrid w:val="0"/>
          <w:kern w:val="0"/>
          <w:sz w:val="24"/>
          <w:szCs w:val="24"/>
          <w:highlight w:val="none"/>
        </w:rPr>
        <w:t>第二条合作期限、地点</w:t>
      </w:r>
    </w:p>
    <w:p w14:paraId="028A9CAA">
      <w:pPr>
        <w:adjustRightInd w:val="0"/>
        <w:snapToGrid w:val="0"/>
        <w:spacing w:line="360" w:lineRule="auto"/>
        <w:ind w:firstLine="480" w:firstLineChars="200"/>
        <w:rPr>
          <w:rFonts w:hint="default" w:ascii="宋体" w:hAnsi="宋体" w:eastAsia="宋体"/>
          <w:snapToGrid w:val="0"/>
          <w:kern w:val="0"/>
          <w:sz w:val="24"/>
          <w:szCs w:val="24"/>
          <w:highlight w:val="none"/>
          <w:u w:val="single"/>
          <w:lang w:val="en-US" w:eastAsia="zh-CN"/>
        </w:rPr>
      </w:pPr>
      <w:r>
        <w:rPr>
          <w:rFonts w:hint="eastAsia" w:ascii="宋体" w:hAnsi="宋体"/>
          <w:snapToGrid w:val="0"/>
          <w:kern w:val="0"/>
          <w:sz w:val="24"/>
          <w:szCs w:val="24"/>
          <w:highlight w:val="none"/>
        </w:rPr>
        <w:t>1.</w:t>
      </w:r>
      <w:r>
        <w:rPr>
          <w:rFonts w:hint="eastAsia" w:ascii="宋体" w:hAnsi="宋体"/>
          <w:b/>
          <w:snapToGrid w:val="0"/>
          <w:kern w:val="0"/>
          <w:sz w:val="24"/>
          <w:szCs w:val="24"/>
          <w:highlight w:val="none"/>
        </w:rPr>
        <w:t xml:space="preserve"> </w:t>
      </w:r>
      <w:r>
        <w:rPr>
          <w:rFonts w:hint="eastAsia" w:ascii="宋体" w:hAnsi="宋体"/>
          <w:snapToGrid w:val="0"/>
          <w:kern w:val="0"/>
          <w:sz w:val="24"/>
          <w:szCs w:val="24"/>
          <w:highlight w:val="none"/>
        </w:rPr>
        <w:t>合作期限：</w:t>
      </w:r>
    </w:p>
    <w:p w14:paraId="461CCA0D">
      <w:pPr>
        <w:adjustRightInd w:val="0"/>
        <w:snapToGrid w:val="0"/>
        <w:spacing w:line="360" w:lineRule="auto"/>
        <w:ind w:firstLine="480" w:firstLineChars="200"/>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rPr>
        <w:t>自</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u w:val="single"/>
          <w:lang w:val="en-US" w:eastAsia="zh-CN"/>
        </w:rPr>
        <w:t>2025</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rPr>
        <w:t>年</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u w:val="single"/>
          <w:lang w:val="en-US" w:eastAsia="zh-CN"/>
        </w:rPr>
        <w:t>3</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rPr>
        <w:t>月</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rPr>
        <w:t>日至</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u w:val="single"/>
          <w:lang w:val="en-US" w:eastAsia="zh-CN"/>
        </w:rPr>
        <w:t>2025</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rPr>
        <w:t>年</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rPr>
        <w:t>月</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rPr>
        <w:t>日止。</w:t>
      </w:r>
      <w:r>
        <w:rPr>
          <w:rFonts w:hint="eastAsia" w:ascii="宋体" w:hAnsi="宋体"/>
          <w:snapToGrid w:val="0"/>
          <w:kern w:val="0"/>
          <w:sz w:val="24"/>
          <w:szCs w:val="24"/>
          <w:highlight w:val="none"/>
          <w:lang w:eastAsia="zh-CN"/>
        </w:rPr>
        <w:t>（</w:t>
      </w:r>
      <w:r>
        <w:rPr>
          <w:rFonts w:hint="eastAsia" w:ascii="宋体" w:hAnsi="宋体"/>
          <w:snapToGrid w:val="0"/>
          <w:kern w:val="0"/>
          <w:sz w:val="24"/>
          <w:szCs w:val="24"/>
          <w:highlight w:val="none"/>
          <w:lang w:val="en-US" w:eastAsia="zh-CN"/>
        </w:rPr>
        <w:t>共计10个月</w:t>
      </w:r>
      <w:r>
        <w:rPr>
          <w:rFonts w:hint="eastAsia" w:ascii="宋体" w:hAnsi="宋体"/>
          <w:snapToGrid w:val="0"/>
          <w:kern w:val="0"/>
          <w:sz w:val="24"/>
          <w:szCs w:val="24"/>
          <w:highlight w:val="none"/>
          <w:lang w:eastAsia="zh-CN"/>
        </w:rPr>
        <w:t>）</w:t>
      </w:r>
    </w:p>
    <w:p w14:paraId="290FF463">
      <w:pPr>
        <w:adjustRightInd w:val="0"/>
        <w:snapToGrid w:val="0"/>
        <w:spacing w:line="360" w:lineRule="auto"/>
        <w:ind w:firstLine="480" w:firstLineChars="200"/>
        <w:rPr>
          <w:rFonts w:ascii="宋体" w:hAnsi="宋体"/>
          <w:snapToGrid w:val="0"/>
          <w:kern w:val="0"/>
          <w:sz w:val="24"/>
          <w:szCs w:val="24"/>
          <w:highlight w:val="none"/>
        </w:rPr>
      </w:pPr>
      <w:r>
        <w:rPr>
          <w:rFonts w:hint="eastAsia" w:ascii="宋体" w:hAnsi="宋体"/>
          <w:snapToGrid w:val="0"/>
          <w:kern w:val="0"/>
          <w:sz w:val="24"/>
          <w:szCs w:val="24"/>
          <w:highlight w:val="none"/>
        </w:rPr>
        <w:t>2.服务地点：</w:t>
      </w:r>
    </w:p>
    <w:p w14:paraId="33339F06">
      <w:pPr>
        <w:adjustRightInd w:val="0"/>
        <w:snapToGrid w:val="0"/>
        <w:spacing w:line="360" w:lineRule="auto"/>
        <w:ind w:firstLine="720" w:firstLineChars="300"/>
        <w:rPr>
          <w:rFonts w:ascii="宋体" w:hAnsi="宋体"/>
          <w:snapToGrid w:val="0"/>
          <w:kern w:val="0"/>
          <w:sz w:val="24"/>
          <w:szCs w:val="24"/>
          <w:highlight w:val="none"/>
        </w:rPr>
      </w:pPr>
      <w:r>
        <w:rPr>
          <w:rFonts w:hint="eastAsia" w:ascii="宋体" w:hAnsi="宋体"/>
          <w:snapToGrid w:val="0"/>
          <w:kern w:val="0"/>
          <w:sz w:val="24"/>
          <w:szCs w:val="24"/>
          <w:highlight w:val="none"/>
        </w:rPr>
        <w:t>甲方指定地点</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u w:val="single"/>
          <w:lang w:val="en-US" w:eastAsia="zh-CN"/>
        </w:rPr>
        <w:t>迎龙小院</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rPr>
        <w:t>。</w:t>
      </w:r>
    </w:p>
    <w:p w14:paraId="1F52A587">
      <w:pPr>
        <w:adjustRightInd w:val="0"/>
        <w:snapToGrid w:val="0"/>
        <w:spacing w:line="360" w:lineRule="auto"/>
        <w:ind w:firstLine="482" w:firstLineChars="200"/>
        <w:rPr>
          <w:rFonts w:ascii="宋体" w:hAnsi="宋体"/>
          <w:b/>
          <w:snapToGrid w:val="0"/>
          <w:kern w:val="0"/>
          <w:sz w:val="24"/>
          <w:szCs w:val="24"/>
          <w:highlight w:val="none"/>
        </w:rPr>
      </w:pPr>
      <w:r>
        <w:rPr>
          <w:rFonts w:hint="eastAsia" w:ascii="宋体" w:hAnsi="宋体"/>
          <w:b/>
          <w:snapToGrid w:val="0"/>
          <w:kern w:val="0"/>
          <w:sz w:val="24"/>
          <w:szCs w:val="24"/>
          <w:highlight w:val="none"/>
        </w:rPr>
        <w:t>第三条服务费与支付方式</w:t>
      </w:r>
    </w:p>
    <w:p w14:paraId="1A3D4DEF">
      <w:pPr>
        <w:spacing w:line="360" w:lineRule="auto"/>
        <w:ind w:firstLine="480" w:firstLineChars="200"/>
        <w:rPr>
          <w:rFonts w:hint="eastAsia" w:ascii="宋体" w:hAnsi="宋体"/>
          <w:sz w:val="24"/>
          <w:szCs w:val="24"/>
          <w:highlight w:val="none"/>
        </w:rPr>
      </w:pPr>
      <w:r>
        <w:rPr>
          <w:rFonts w:ascii="宋体" w:hAnsi="宋体"/>
          <w:sz w:val="24"/>
          <w:szCs w:val="24"/>
          <w:highlight w:val="none"/>
        </w:rPr>
        <w:t>1</w:t>
      </w:r>
      <w:r>
        <w:rPr>
          <w:rFonts w:hint="eastAsia" w:ascii="宋体" w:hAnsi="宋体"/>
          <w:snapToGrid w:val="0"/>
          <w:kern w:val="0"/>
          <w:sz w:val="24"/>
          <w:szCs w:val="24"/>
          <w:highlight w:val="none"/>
        </w:rPr>
        <w:t>、</w:t>
      </w:r>
      <w:r>
        <w:rPr>
          <w:rFonts w:hint="eastAsia"/>
          <w:sz w:val="24"/>
          <w:szCs w:val="24"/>
          <w:highlight w:val="none"/>
        </w:rPr>
        <w:t>乙方按甲方要求保质保量完成</w:t>
      </w:r>
      <w:r>
        <w:rPr>
          <w:rFonts w:hint="eastAsia"/>
          <w:sz w:val="24"/>
          <w:szCs w:val="24"/>
          <w:highlight w:val="none"/>
          <w:lang w:val="en-US" w:eastAsia="zh-CN"/>
        </w:rPr>
        <w:t>服务内容</w:t>
      </w:r>
      <w:r>
        <w:rPr>
          <w:rFonts w:hint="eastAsia"/>
          <w:sz w:val="24"/>
          <w:szCs w:val="24"/>
          <w:highlight w:val="none"/>
        </w:rPr>
        <w:t>。</w:t>
      </w:r>
    </w:p>
    <w:p w14:paraId="46BC94A7">
      <w:pPr>
        <w:spacing w:line="360" w:lineRule="auto"/>
        <w:rPr>
          <w:rFonts w:ascii="宋体" w:hAnsi="宋体"/>
          <w:sz w:val="24"/>
          <w:szCs w:val="24"/>
          <w:highlight w:val="none"/>
        </w:rPr>
      </w:pPr>
      <w:r>
        <w:rPr>
          <w:rFonts w:hint="eastAsia" w:ascii="宋体" w:hAnsi="宋体"/>
          <w:sz w:val="24"/>
          <w:szCs w:val="24"/>
          <w:highlight w:val="none"/>
        </w:rPr>
        <w:t xml:space="preserve">    2、项目服务日常所需耗材由甲方提供。</w:t>
      </w:r>
    </w:p>
    <w:p w14:paraId="0F8FD7D8">
      <w:pPr>
        <w:spacing w:line="360" w:lineRule="auto"/>
        <w:ind w:left="0" w:leftChars="0"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3、</w:t>
      </w:r>
      <w:r>
        <w:rPr>
          <w:rFonts w:hint="eastAsia" w:ascii="宋体" w:hAnsi="宋体" w:eastAsia="宋体" w:cs="Times New Roman"/>
          <w:sz w:val="24"/>
          <w:szCs w:val="24"/>
          <w:highlight w:val="none"/>
          <w:lang w:eastAsia="zh-CN"/>
        </w:rPr>
        <w:t>本项目</w:t>
      </w:r>
      <w:r>
        <w:rPr>
          <w:rFonts w:hint="eastAsia" w:ascii="宋体" w:hAnsi="宋体" w:eastAsia="宋体" w:cs="Times New Roman"/>
          <w:sz w:val="24"/>
          <w:szCs w:val="24"/>
          <w:highlight w:val="none"/>
        </w:rPr>
        <w:t>合同总价为人民币大写：</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，不含税价为人民币大写：</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val="en-US" w:eastAsia="zh-CN"/>
        </w:rPr>
        <w:t>），增值税税额为人民币大写：</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val="en-US" w:eastAsia="zh-CN"/>
        </w:rPr>
        <w:t>）。本合同增值税税率为_______。</w:t>
      </w:r>
    </w:p>
    <w:p w14:paraId="255B17DF">
      <w:pPr>
        <w:spacing w:line="360" w:lineRule="auto"/>
        <w:ind w:left="0" w:leftChars="0" w:firstLine="960" w:firstLineChars="400"/>
        <w:rPr>
          <w:rFonts w:hint="default"/>
          <w:highlight w:val="none"/>
          <w:lang w:val="en-US" w:eastAsia="zh-CN"/>
        </w:rPr>
      </w:pPr>
      <w:r>
        <w:rPr>
          <w:rFonts w:hint="eastAsia" w:ascii="宋体" w:hAnsi="宋体" w:cs="Times New Roman"/>
          <w:sz w:val="24"/>
          <w:szCs w:val="24"/>
          <w:highlight w:val="none"/>
          <w:lang w:val="en-US" w:eastAsia="zh-CN"/>
        </w:rPr>
        <w:t>每月服务费为</w:t>
      </w:r>
      <w:r>
        <w:rPr>
          <w:rFonts w:hint="eastAsia" w:ascii="宋体" w:hAnsi="宋体" w:eastAsia="宋体" w:cs="Times New Roman"/>
          <w:sz w:val="24"/>
          <w:szCs w:val="24"/>
          <w:highlight w:val="none"/>
          <w:u w:val="single"/>
          <w:lang w:val="en-US" w:eastAsia="zh-CN"/>
        </w:rPr>
        <w:t xml:space="preserve">       元/月   </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，不含税价为人民币大写：</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val="en-US" w:eastAsia="zh-CN"/>
        </w:rPr>
        <w:t>），增值税税额为人民币大写：</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lang w:val="en-US" w:eastAsia="zh-CN"/>
        </w:rPr>
        <w:t>）。本合同增值税税率为_______。</w:t>
      </w:r>
    </w:p>
    <w:p w14:paraId="3E1AA6B8">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4. 支付方式及结算原则：</w:t>
      </w:r>
      <w:r>
        <w:rPr>
          <w:rFonts w:hint="eastAsia" w:ascii="宋体" w:hAnsi="宋体" w:eastAsia="宋体" w:cs="Times New Roman"/>
          <w:sz w:val="24"/>
          <w:szCs w:val="24"/>
          <w:highlight w:val="none"/>
        </w:rPr>
        <w:t>按月支付服务费，次月</w:t>
      </w:r>
      <w:r>
        <w:rPr>
          <w:rFonts w:hint="eastAsia" w:ascii="宋体" w:hAnsi="宋体" w:eastAsia="宋体" w:cs="Times New Roman"/>
          <w:sz w:val="24"/>
          <w:szCs w:val="24"/>
          <w:highlight w:val="none"/>
          <w:u w:val="single"/>
          <w:lang w:val="en-US" w:eastAsia="zh-CN"/>
        </w:rPr>
        <w:t>20</w:t>
      </w:r>
      <w:r>
        <w:rPr>
          <w:rFonts w:hint="eastAsia" w:ascii="宋体" w:hAnsi="宋体" w:eastAsia="宋体" w:cs="Times New Roman"/>
          <w:sz w:val="24"/>
          <w:szCs w:val="24"/>
          <w:highlight w:val="none"/>
        </w:rPr>
        <w:t>日前，乙方应向甲方提供税务部门认可的真实合法有效的</w:t>
      </w:r>
      <w:r>
        <w:rPr>
          <w:rFonts w:hint="eastAsia" w:ascii="宋体" w:hAnsi="宋体" w:eastAsia="宋体" w:cs="Times New Roman"/>
          <w:sz w:val="24"/>
          <w:szCs w:val="24"/>
          <w:highlight w:val="none"/>
          <w:lang w:val="en-US" w:eastAsia="zh-CN"/>
        </w:rPr>
        <w:t>增值税专用</w:t>
      </w:r>
      <w:r>
        <w:rPr>
          <w:rFonts w:hint="eastAsia" w:ascii="宋体" w:hAnsi="宋体" w:eastAsia="宋体" w:cs="Times New Roman"/>
          <w:sz w:val="24"/>
          <w:szCs w:val="24"/>
          <w:highlight w:val="none"/>
        </w:rPr>
        <w:t>发票，</w:t>
      </w:r>
      <w:r>
        <w:rPr>
          <w:rFonts w:hint="eastAsia" w:ascii="宋体" w:hAnsi="宋体" w:eastAsia="宋体" w:cs="Times New Roman"/>
          <w:sz w:val="24"/>
          <w:szCs w:val="24"/>
          <w:highlight w:val="none"/>
          <w:lang w:val="en-US" w:eastAsia="zh-CN"/>
        </w:rPr>
        <w:t>同时向甲方提交书面支付申请并由甲方确认乙方当月服务合格后，</w:t>
      </w:r>
      <w:r>
        <w:rPr>
          <w:rFonts w:hint="eastAsia" w:ascii="宋体" w:hAnsi="宋体" w:eastAsia="宋体" w:cs="Times New Roman"/>
          <w:sz w:val="24"/>
          <w:szCs w:val="24"/>
          <w:highlight w:val="none"/>
        </w:rPr>
        <w:t>且双方无争议、无任何遗留问题，否则甲方有权暂定付款或延迟付款且不承担任何责任。甲方应于</w:t>
      </w:r>
      <w:r>
        <w:rPr>
          <w:rFonts w:hint="eastAsia" w:ascii="宋体" w:hAnsi="宋体" w:eastAsia="宋体" w:cs="Times New Roman"/>
          <w:sz w:val="24"/>
          <w:szCs w:val="24"/>
          <w:highlight w:val="none"/>
          <w:lang w:val="en-US" w:eastAsia="zh-CN"/>
        </w:rPr>
        <w:t>双方</w:t>
      </w:r>
      <w:r>
        <w:rPr>
          <w:rFonts w:hint="eastAsia" w:ascii="宋体" w:hAnsi="宋体" w:eastAsia="宋体" w:cs="Times New Roman"/>
          <w:sz w:val="24"/>
          <w:szCs w:val="24"/>
          <w:highlight w:val="none"/>
        </w:rPr>
        <w:t>确认且收到上述发票后</w:t>
      </w:r>
      <w:r>
        <w:rPr>
          <w:rFonts w:hint="eastAsia" w:ascii="宋体" w:hAnsi="宋体" w:eastAsia="宋体" w:cs="Times New Roman"/>
          <w:sz w:val="24"/>
          <w:szCs w:val="24"/>
          <w:highlight w:val="none"/>
          <w:u w:val="single"/>
        </w:rPr>
        <w:t>5</w:t>
      </w:r>
      <w:r>
        <w:rPr>
          <w:rFonts w:hint="eastAsia" w:ascii="宋体" w:hAnsi="宋体" w:eastAsia="宋体" w:cs="Times New Roman"/>
          <w:sz w:val="24"/>
          <w:szCs w:val="24"/>
          <w:highlight w:val="none"/>
        </w:rPr>
        <w:t>个工作日向乙方支付上月项目服务费。</w:t>
      </w:r>
    </w:p>
    <w:p w14:paraId="7FBBDC01">
      <w:pPr>
        <w:adjustRightInd w:val="0"/>
        <w:snapToGrid w:val="0"/>
        <w:spacing w:line="360" w:lineRule="auto"/>
        <w:ind w:firstLine="480" w:firstLineChars="200"/>
        <w:rPr>
          <w:sz w:val="24"/>
          <w:szCs w:val="24"/>
          <w:highlight w:val="none"/>
        </w:rPr>
      </w:pPr>
      <w:r>
        <w:rPr>
          <w:rFonts w:hint="eastAsia" w:ascii="宋体" w:hAnsi="宋体"/>
          <w:snapToGrid w:val="0"/>
          <w:kern w:val="0"/>
          <w:sz w:val="24"/>
          <w:szCs w:val="24"/>
          <w:highlight w:val="none"/>
          <w:lang w:val="en-US" w:eastAsia="zh-CN"/>
        </w:rPr>
        <w:t>5</w:t>
      </w:r>
      <w:r>
        <w:rPr>
          <w:rFonts w:hint="eastAsia" w:ascii="宋体" w:hAnsi="宋体"/>
          <w:snapToGrid w:val="0"/>
          <w:kern w:val="0"/>
          <w:sz w:val="24"/>
          <w:szCs w:val="24"/>
          <w:highlight w:val="none"/>
        </w:rPr>
        <w:t>、</w:t>
      </w:r>
      <w:r>
        <w:rPr>
          <w:rFonts w:hint="eastAsia"/>
          <w:sz w:val="24"/>
          <w:szCs w:val="24"/>
          <w:highlight w:val="none"/>
        </w:rPr>
        <w:t>甲、乙双方之间发生的本合同项下的一切费用均以人民币结算，支付时，甲方应按照本合同约定将相应款项转入乙方指定的账户。乙方收款账号信息如下：</w:t>
      </w:r>
    </w:p>
    <w:p w14:paraId="0AAD2F6C">
      <w:pPr>
        <w:autoSpaceDE w:val="0"/>
        <w:autoSpaceDN w:val="0"/>
        <w:adjustRightInd w:val="0"/>
        <w:spacing w:line="360" w:lineRule="auto"/>
        <w:ind w:firstLine="720" w:firstLineChars="300"/>
        <w:jc w:val="left"/>
        <w:rPr>
          <w:rFonts w:hint="eastAsia"/>
          <w:sz w:val="24"/>
          <w:szCs w:val="24"/>
          <w:highlight w:val="none"/>
          <w:u w:val="single"/>
        </w:rPr>
      </w:pPr>
      <w:r>
        <w:rPr>
          <w:rFonts w:hint="eastAsia"/>
          <w:sz w:val="24"/>
          <w:szCs w:val="24"/>
          <w:highlight w:val="none"/>
        </w:rPr>
        <w:t>收款人全称：</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 xml:space="preserve">    </w:t>
      </w:r>
    </w:p>
    <w:p w14:paraId="77209BB1">
      <w:pPr>
        <w:autoSpaceDE w:val="0"/>
        <w:autoSpaceDN w:val="0"/>
        <w:adjustRightInd w:val="0"/>
        <w:spacing w:line="360" w:lineRule="auto"/>
        <w:ind w:firstLine="720" w:firstLineChars="300"/>
        <w:jc w:val="left"/>
        <w:rPr>
          <w:rFonts w:hint="eastAsia"/>
          <w:sz w:val="24"/>
          <w:szCs w:val="24"/>
          <w:highlight w:val="none"/>
          <w:u w:val="single"/>
        </w:rPr>
      </w:pPr>
      <w:r>
        <w:rPr>
          <w:rFonts w:hint="eastAsia"/>
          <w:sz w:val="24"/>
          <w:szCs w:val="24"/>
          <w:highlight w:val="none"/>
        </w:rPr>
        <w:t>开</w:t>
      </w:r>
      <w:r>
        <w:rPr>
          <w:rFonts w:hint="eastAsia"/>
          <w:sz w:val="24"/>
          <w:szCs w:val="24"/>
          <w:highlight w:val="none"/>
          <w:lang w:val="en-US" w:eastAsia="zh-CN"/>
        </w:rPr>
        <w:t xml:space="preserve">  </w:t>
      </w:r>
      <w:r>
        <w:rPr>
          <w:rFonts w:hint="eastAsia"/>
          <w:sz w:val="24"/>
          <w:szCs w:val="24"/>
          <w:highlight w:val="none"/>
        </w:rPr>
        <w:t>户</w:t>
      </w:r>
      <w:r>
        <w:rPr>
          <w:rFonts w:hint="eastAsia"/>
          <w:sz w:val="24"/>
          <w:szCs w:val="24"/>
          <w:highlight w:val="none"/>
          <w:lang w:val="en-US" w:eastAsia="zh-CN"/>
        </w:rPr>
        <w:t xml:space="preserve">  </w:t>
      </w:r>
      <w:r>
        <w:rPr>
          <w:rFonts w:hint="eastAsia"/>
          <w:sz w:val="24"/>
          <w:szCs w:val="24"/>
          <w:highlight w:val="none"/>
        </w:rPr>
        <w:t>行：</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 xml:space="preserve">            </w:t>
      </w:r>
    </w:p>
    <w:p w14:paraId="7575FC56">
      <w:pPr>
        <w:autoSpaceDE w:val="0"/>
        <w:autoSpaceDN w:val="0"/>
        <w:adjustRightInd w:val="0"/>
        <w:spacing w:line="360" w:lineRule="auto"/>
        <w:ind w:firstLine="720" w:firstLineChars="300"/>
        <w:jc w:val="left"/>
        <w:rPr>
          <w:rFonts w:ascii="宋体"/>
          <w:sz w:val="24"/>
          <w:szCs w:val="24"/>
          <w:highlight w:val="none"/>
          <w:u w:val="single"/>
        </w:rPr>
      </w:pPr>
      <w:r>
        <w:rPr>
          <w:rFonts w:hint="eastAsia"/>
          <w:sz w:val="24"/>
          <w:szCs w:val="24"/>
          <w:highlight w:val="none"/>
        </w:rPr>
        <w:t>账</w:t>
      </w:r>
      <w:r>
        <w:rPr>
          <w:rFonts w:hint="eastAsia"/>
          <w:sz w:val="24"/>
          <w:szCs w:val="24"/>
          <w:highlight w:val="none"/>
          <w:lang w:val="en-US" w:eastAsia="zh-CN"/>
        </w:rPr>
        <w:t xml:space="preserve">      </w:t>
      </w:r>
      <w:r>
        <w:rPr>
          <w:rFonts w:hint="eastAsia"/>
          <w:sz w:val="24"/>
          <w:szCs w:val="24"/>
          <w:highlight w:val="none"/>
        </w:rPr>
        <w:t>号：</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sz w:val="24"/>
          <w:szCs w:val="24"/>
          <w:highlight w:val="none"/>
          <w:u w:val="single"/>
        </w:rPr>
        <w:t xml:space="preserve">               </w:t>
      </w:r>
    </w:p>
    <w:p w14:paraId="36975F21">
      <w:pPr>
        <w:adjustRightInd w:val="0"/>
        <w:snapToGrid w:val="0"/>
        <w:spacing w:line="360" w:lineRule="auto"/>
        <w:ind w:firstLine="482" w:firstLineChars="200"/>
        <w:rPr>
          <w:rFonts w:ascii="宋体" w:hAnsi="宋体"/>
          <w:b/>
          <w:snapToGrid w:val="0"/>
          <w:kern w:val="0"/>
          <w:sz w:val="24"/>
          <w:szCs w:val="24"/>
          <w:highlight w:val="none"/>
        </w:rPr>
      </w:pPr>
      <w:r>
        <w:rPr>
          <w:rFonts w:hint="eastAsia" w:ascii="宋体" w:hAnsi="宋体"/>
          <w:b/>
          <w:snapToGrid w:val="0"/>
          <w:kern w:val="0"/>
          <w:sz w:val="24"/>
          <w:szCs w:val="24"/>
          <w:highlight w:val="none"/>
        </w:rPr>
        <w:t>第四条 权利义务</w:t>
      </w:r>
    </w:p>
    <w:p w14:paraId="609CAB7C">
      <w:pPr>
        <w:adjustRightInd w:val="0"/>
        <w:snapToGrid w:val="0"/>
        <w:spacing w:line="360" w:lineRule="auto"/>
        <w:ind w:firstLine="480" w:firstLineChars="200"/>
        <w:rPr>
          <w:rFonts w:ascii="宋体" w:hAnsi="宋体"/>
          <w:snapToGrid w:val="0"/>
          <w:kern w:val="0"/>
          <w:sz w:val="24"/>
          <w:szCs w:val="24"/>
          <w:highlight w:val="none"/>
        </w:rPr>
      </w:pPr>
      <w:r>
        <w:rPr>
          <w:rFonts w:hint="eastAsia" w:ascii="宋体" w:hAnsi="宋体"/>
          <w:snapToGrid w:val="0"/>
          <w:kern w:val="0"/>
          <w:sz w:val="24"/>
          <w:szCs w:val="24"/>
          <w:highlight w:val="none"/>
        </w:rPr>
        <w:t>1.甲方权利义务</w:t>
      </w:r>
    </w:p>
    <w:p w14:paraId="7062FCE2">
      <w:pPr>
        <w:adjustRightInd w:val="0"/>
        <w:snapToGrid w:val="0"/>
        <w:spacing w:line="360" w:lineRule="auto"/>
        <w:ind w:firstLine="480" w:firstLineChars="200"/>
        <w:rPr>
          <w:rFonts w:ascii="宋体" w:hAnsi="宋体"/>
          <w:snapToGrid w:val="0"/>
          <w:kern w:val="0"/>
          <w:sz w:val="24"/>
          <w:szCs w:val="24"/>
          <w:highlight w:val="none"/>
        </w:rPr>
      </w:pPr>
      <w:r>
        <w:rPr>
          <w:rFonts w:hint="eastAsia" w:ascii="宋体" w:hAnsi="宋体"/>
          <w:snapToGrid w:val="0"/>
          <w:kern w:val="0"/>
          <w:sz w:val="24"/>
          <w:szCs w:val="24"/>
          <w:highlight w:val="none"/>
        </w:rPr>
        <w:t>（1）甲方有权对乙方的服务工作进行监督、检查、指导和考核并制定甲方关于各服务岗位的任职要求，对乙方工作人员的日常工作进行管理教育，并有权集中人力完成突击性的任务。</w:t>
      </w:r>
    </w:p>
    <w:p w14:paraId="5AA27D01">
      <w:pPr>
        <w:adjustRightInd w:val="0"/>
        <w:snapToGrid w:val="0"/>
        <w:spacing w:line="360" w:lineRule="auto"/>
        <w:ind w:firstLine="480" w:firstLineChars="200"/>
        <w:rPr>
          <w:sz w:val="24"/>
          <w:szCs w:val="24"/>
          <w:highlight w:val="none"/>
        </w:rPr>
      </w:pPr>
      <w:r>
        <w:rPr>
          <w:rFonts w:hint="eastAsia" w:ascii="宋体" w:hAnsi="宋体"/>
          <w:snapToGrid w:val="0"/>
          <w:kern w:val="0"/>
          <w:sz w:val="24"/>
          <w:szCs w:val="24"/>
          <w:highlight w:val="none"/>
        </w:rPr>
        <w:t>（2）</w:t>
      </w:r>
      <w:r>
        <w:rPr>
          <w:rFonts w:hint="eastAsia" w:ascii="宋体" w:hAnsi="宋体"/>
          <w:snapToGrid w:val="0"/>
          <w:kern w:val="0"/>
          <w:sz w:val="24"/>
          <w:szCs w:val="24"/>
          <w:highlight w:val="none"/>
          <w:lang w:val="en-US" w:eastAsia="zh-CN"/>
        </w:rPr>
        <w:t>服务</w:t>
      </w:r>
      <w:r>
        <w:rPr>
          <w:rFonts w:hint="eastAsia" w:ascii="宋体" w:hAnsi="宋体"/>
          <w:snapToGrid w:val="0"/>
          <w:kern w:val="0"/>
          <w:sz w:val="24"/>
          <w:szCs w:val="24"/>
          <w:highlight w:val="none"/>
        </w:rPr>
        <w:t>员工人数由乙方根据服务的工作内容自行安排</w:t>
      </w:r>
      <w:r>
        <w:rPr>
          <w:rFonts w:hint="eastAsia" w:ascii="宋体" w:hAnsi="宋体"/>
          <w:snapToGrid w:val="0"/>
          <w:kern w:val="0"/>
          <w:sz w:val="24"/>
          <w:szCs w:val="24"/>
          <w:highlight w:val="none"/>
          <w:lang w:eastAsia="zh-CN"/>
        </w:rPr>
        <w:t>（</w:t>
      </w:r>
      <w:r>
        <w:rPr>
          <w:rFonts w:hint="eastAsia" w:ascii="宋体" w:hAnsi="宋体"/>
          <w:snapToGrid w:val="0"/>
          <w:kern w:val="0"/>
          <w:sz w:val="24"/>
          <w:szCs w:val="24"/>
          <w:highlight w:val="none"/>
          <w:lang w:val="en-US" w:eastAsia="zh-CN"/>
        </w:rPr>
        <w:t>不低于8人</w:t>
      </w:r>
      <w:r>
        <w:rPr>
          <w:rFonts w:hint="eastAsia" w:ascii="宋体" w:hAnsi="宋体"/>
          <w:snapToGrid w:val="0"/>
          <w:kern w:val="0"/>
          <w:sz w:val="24"/>
          <w:szCs w:val="24"/>
          <w:highlight w:val="none"/>
          <w:lang w:eastAsia="zh-CN"/>
        </w:rPr>
        <w:t>）</w:t>
      </w:r>
      <w:r>
        <w:rPr>
          <w:rFonts w:hint="eastAsia" w:ascii="宋体" w:hAnsi="宋体"/>
          <w:snapToGrid w:val="0"/>
          <w:kern w:val="0"/>
          <w:sz w:val="24"/>
          <w:szCs w:val="24"/>
          <w:highlight w:val="none"/>
        </w:rPr>
        <w:t>，但应当保证服务质量。</w:t>
      </w:r>
      <w:r>
        <w:rPr>
          <w:rFonts w:hint="eastAsia"/>
          <w:sz w:val="24"/>
          <w:szCs w:val="24"/>
          <w:highlight w:val="none"/>
        </w:rPr>
        <w:t>如遇特殊情况，甲方可作临时性变动要求，乙方须配合，但双方应协商好人员变动的费用问题。</w:t>
      </w:r>
    </w:p>
    <w:p w14:paraId="22A379E8">
      <w:pPr>
        <w:adjustRightInd w:val="0"/>
        <w:snapToGrid w:val="0"/>
        <w:spacing w:line="360" w:lineRule="auto"/>
        <w:ind w:firstLine="480" w:firstLineChars="200"/>
        <w:rPr>
          <w:rFonts w:hint="eastAsia" w:ascii="宋体" w:hAnsi="宋体"/>
          <w:snapToGrid w:val="0"/>
          <w:kern w:val="0"/>
          <w:sz w:val="24"/>
          <w:szCs w:val="24"/>
          <w:highlight w:val="none"/>
        </w:rPr>
      </w:pPr>
      <w:r>
        <w:rPr>
          <w:rFonts w:hint="eastAsia" w:ascii="宋体" w:hAnsi="宋体"/>
          <w:snapToGrid w:val="0"/>
          <w:kern w:val="0"/>
          <w:sz w:val="24"/>
          <w:szCs w:val="24"/>
          <w:highlight w:val="none"/>
        </w:rPr>
        <w:t>（3）甲方对乙方工作人员有权进行必要的资格审查和政治审查，可直接参加面试挑选，甲方有录用建议权，乙方所招聘人员需要符合甲方要求。</w:t>
      </w:r>
    </w:p>
    <w:p w14:paraId="468B6C25">
      <w:pPr>
        <w:adjustRightInd w:val="0"/>
        <w:snapToGrid w:val="0"/>
        <w:spacing w:line="360" w:lineRule="auto"/>
        <w:ind w:firstLine="480" w:firstLineChars="200"/>
        <w:rPr>
          <w:rFonts w:ascii="宋体" w:hAnsi="宋体"/>
          <w:snapToGrid w:val="0"/>
          <w:kern w:val="0"/>
          <w:sz w:val="24"/>
          <w:szCs w:val="24"/>
          <w:highlight w:val="none"/>
        </w:rPr>
      </w:pPr>
      <w:r>
        <w:rPr>
          <w:rFonts w:hint="eastAsia" w:ascii="宋体" w:hAnsi="宋体"/>
          <w:snapToGrid w:val="0"/>
          <w:kern w:val="0"/>
          <w:sz w:val="24"/>
          <w:szCs w:val="24"/>
          <w:highlight w:val="none"/>
        </w:rPr>
        <w:t>（4）甲方应支持乙方工作人员的工作，对工作人员履行职责的行为予以积极的帮助和配合；并负责妥善处理工作人员在工作中与甲方人员或其他外来人员发生的争议。</w:t>
      </w:r>
    </w:p>
    <w:p w14:paraId="474B1DE8">
      <w:pPr>
        <w:adjustRightInd w:val="0"/>
        <w:snapToGrid w:val="0"/>
        <w:spacing w:line="360" w:lineRule="auto"/>
        <w:ind w:firstLine="480" w:firstLineChars="200"/>
        <w:rPr>
          <w:rFonts w:ascii="宋体" w:hAnsi="宋体"/>
          <w:snapToGrid w:val="0"/>
          <w:kern w:val="0"/>
          <w:sz w:val="24"/>
          <w:szCs w:val="24"/>
          <w:highlight w:val="none"/>
        </w:rPr>
      </w:pPr>
      <w:r>
        <w:rPr>
          <w:rFonts w:hint="eastAsia" w:ascii="宋体" w:hAnsi="宋体"/>
          <w:snapToGrid w:val="0"/>
          <w:kern w:val="0"/>
          <w:sz w:val="24"/>
          <w:szCs w:val="24"/>
          <w:highlight w:val="none"/>
        </w:rPr>
        <w:t>（5）甲方营业区域内遇有应急或突发事件时，有权临时调动乙方工作人员完成分配的任务，但应保障乙方工作人员人身、财产安全。</w:t>
      </w:r>
    </w:p>
    <w:p w14:paraId="3B12E467">
      <w:pPr>
        <w:adjustRightInd w:val="0"/>
        <w:snapToGrid w:val="0"/>
        <w:spacing w:line="360" w:lineRule="auto"/>
        <w:ind w:firstLine="480" w:firstLineChars="200"/>
        <w:rPr>
          <w:rFonts w:hint="eastAsia" w:ascii="宋体" w:hAnsi="宋体"/>
          <w:snapToGrid w:val="0"/>
          <w:kern w:val="0"/>
          <w:sz w:val="24"/>
          <w:szCs w:val="24"/>
          <w:highlight w:val="none"/>
        </w:rPr>
      </w:pPr>
      <w:r>
        <w:rPr>
          <w:rFonts w:hint="eastAsia" w:ascii="宋体" w:hAnsi="宋体"/>
          <w:snapToGrid w:val="0"/>
          <w:kern w:val="0"/>
          <w:sz w:val="24"/>
          <w:szCs w:val="24"/>
          <w:highlight w:val="none"/>
        </w:rPr>
        <w:t>（6）甲方依据本合同的约定，按时足额向乙方支付</w:t>
      </w:r>
      <w:r>
        <w:rPr>
          <w:rFonts w:hint="eastAsia" w:ascii="宋体" w:hAnsi="宋体"/>
          <w:snapToGrid w:val="0"/>
          <w:kern w:val="0"/>
          <w:sz w:val="24"/>
          <w:szCs w:val="24"/>
          <w:highlight w:val="none"/>
          <w:lang w:val="en-US" w:eastAsia="zh-CN"/>
        </w:rPr>
        <w:t>服务</w:t>
      </w:r>
      <w:r>
        <w:rPr>
          <w:rFonts w:hint="eastAsia" w:ascii="宋体" w:hAnsi="宋体"/>
          <w:snapToGrid w:val="0"/>
          <w:kern w:val="0"/>
          <w:sz w:val="24"/>
          <w:szCs w:val="24"/>
          <w:highlight w:val="none"/>
        </w:rPr>
        <w:t>费用。如遇特殊情况，双方可另行协商日期，协商不成则自合同约定的支付之日起，按日加收</w:t>
      </w:r>
      <w:r>
        <w:rPr>
          <w:rFonts w:hint="eastAsia" w:ascii="宋体" w:hAnsi="宋体"/>
          <w:snapToGrid w:val="0"/>
          <w:kern w:val="0"/>
          <w:sz w:val="24"/>
          <w:szCs w:val="24"/>
          <w:highlight w:val="none"/>
          <w:lang w:val="en-US" w:eastAsia="zh-CN"/>
        </w:rPr>
        <w:t>万</w:t>
      </w:r>
      <w:r>
        <w:rPr>
          <w:rFonts w:hint="eastAsia" w:ascii="宋体" w:hAnsi="宋体"/>
          <w:snapToGrid w:val="0"/>
          <w:kern w:val="0"/>
          <w:sz w:val="24"/>
          <w:szCs w:val="24"/>
          <w:highlight w:val="none"/>
        </w:rPr>
        <w:t>分之一滞纳金；</w:t>
      </w:r>
    </w:p>
    <w:p w14:paraId="20E7559A">
      <w:pPr>
        <w:adjustRightInd w:val="0"/>
        <w:snapToGrid w:val="0"/>
        <w:spacing w:line="360" w:lineRule="auto"/>
        <w:ind w:firstLine="480" w:firstLineChars="200"/>
        <w:rPr>
          <w:rFonts w:hint="eastAsia" w:ascii="宋体" w:hAnsi="宋体"/>
          <w:snapToGrid w:val="0"/>
          <w:kern w:val="0"/>
          <w:sz w:val="24"/>
          <w:szCs w:val="24"/>
          <w:highlight w:val="none"/>
        </w:rPr>
      </w:pPr>
      <w:r>
        <w:rPr>
          <w:rFonts w:hint="eastAsia" w:ascii="宋体" w:hAnsi="宋体"/>
          <w:sz w:val="24"/>
          <w:highlight w:val="none"/>
        </w:rPr>
        <w:t>（7）</w:t>
      </w:r>
      <w:r>
        <w:rPr>
          <w:rFonts w:hint="eastAsia" w:ascii="宋体" w:hAnsi="宋体"/>
          <w:snapToGrid w:val="0"/>
          <w:kern w:val="0"/>
          <w:sz w:val="24"/>
          <w:szCs w:val="24"/>
          <w:highlight w:val="none"/>
        </w:rPr>
        <w:t>甲方</w:t>
      </w:r>
      <w:r>
        <w:rPr>
          <w:rFonts w:hint="eastAsia" w:ascii="宋体" w:hAnsi="宋体"/>
          <w:snapToGrid w:val="0"/>
          <w:kern w:val="0"/>
          <w:sz w:val="24"/>
          <w:szCs w:val="24"/>
          <w:highlight w:val="none"/>
          <w:lang w:val="en-US" w:eastAsia="zh-CN"/>
        </w:rPr>
        <w:t>承担</w:t>
      </w:r>
      <w:r>
        <w:rPr>
          <w:rFonts w:hint="eastAsia" w:ascii="宋体" w:hAnsi="宋体"/>
          <w:snapToGrid w:val="0"/>
          <w:kern w:val="0"/>
          <w:sz w:val="24"/>
          <w:szCs w:val="24"/>
          <w:highlight w:val="none"/>
        </w:rPr>
        <w:t>未及时足额支付</w:t>
      </w:r>
      <w:r>
        <w:rPr>
          <w:rFonts w:hint="eastAsia" w:ascii="宋体" w:hAnsi="宋体"/>
          <w:snapToGrid w:val="0"/>
          <w:kern w:val="0"/>
          <w:sz w:val="24"/>
          <w:szCs w:val="24"/>
          <w:highlight w:val="none"/>
          <w:lang w:val="en-US" w:eastAsia="zh-CN"/>
        </w:rPr>
        <w:t>服务</w:t>
      </w:r>
      <w:r>
        <w:rPr>
          <w:rFonts w:hint="eastAsia" w:ascii="宋体" w:hAnsi="宋体"/>
          <w:snapToGrid w:val="0"/>
          <w:kern w:val="0"/>
          <w:sz w:val="24"/>
          <w:szCs w:val="24"/>
          <w:highlight w:val="none"/>
        </w:rPr>
        <w:t>费用将导致乙方不能及时足额发放员工工资等后果。</w:t>
      </w:r>
    </w:p>
    <w:p w14:paraId="252F0FAF">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（8）劳保用品的提供方为</w:t>
      </w:r>
      <w:r>
        <w:rPr>
          <w:rFonts w:hint="eastAsia" w:ascii="宋体" w:hAnsi="宋体"/>
          <w:sz w:val="24"/>
          <w:highlight w:val="none"/>
          <w:lang w:val="en-US" w:eastAsia="zh-CN"/>
        </w:rPr>
        <w:t>甲方</w:t>
      </w:r>
      <w:r>
        <w:rPr>
          <w:rFonts w:hint="eastAsia" w:ascii="宋体" w:hAnsi="宋体"/>
          <w:sz w:val="24"/>
          <w:highlight w:val="none"/>
        </w:rPr>
        <w:t>。</w:t>
      </w:r>
    </w:p>
    <w:p w14:paraId="3EB65DB5">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（9）经双方协商，甲方负责在员工发生工伤事故后4小时内通知乙方，以便乙方及时向商业保险机构报备，因通报不及时导致不能报销部分的费用由责任方承担。</w:t>
      </w:r>
    </w:p>
    <w:p w14:paraId="51094AD1">
      <w:pPr>
        <w:adjustRightInd w:val="0"/>
        <w:snapToGrid w:val="0"/>
        <w:spacing w:line="360" w:lineRule="auto"/>
        <w:ind w:firstLine="480" w:firstLineChars="200"/>
        <w:rPr>
          <w:rFonts w:ascii="宋体" w:hAnsi="宋体"/>
          <w:snapToGrid w:val="0"/>
          <w:kern w:val="0"/>
          <w:sz w:val="24"/>
          <w:szCs w:val="24"/>
          <w:highlight w:val="none"/>
        </w:rPr>
      </w:pPr>
      <w:r>
        <w:rPr>
          <w:rFonts w:hint="eastAsia" w:ascii="宋体" w:hAnsi="宋体"/>
          <w:snapToGrid w:val="0"/>
          <w:kern w:val="0"/>
          <w:sz w:val="24"/>
          <w:szCs w:val="24"/>
          <w:highlight w:val="none"/>
        </w:rPr>
        <w:t>2.乙方权利义务</w:t>
      </w:r>
    </w:p>
    <w:p w14:paraId="1A30EA02">
      <w:pPr>
        <w:adjustRightInd w:val="0"/>
        <w:snapToGrid w:val="0"/>
        <w:spacing w:line="360" w:lineRule="auto"/>
        <w:ind w:firstLine="480" w:firstLineChars="200"/>
        <w:rPr>
          <w:rFonts w:ascii="宋体" w:hAnsi="宋体"/>
          <w:snapToGrid w:val="0"/>
          <w:kern w:val="0"/>
          <w:sz w:val="24"/>
          <w:szCs w:val="24"/>
          <w:highlight w:val="none"/>
        </w:rPr>
      </w:pPr>
      <w:r>
        <w:rPr>
          <w:rFonts w:hint="eastAsia" w:ascii="宋体" w:hAnsi="宋体"/>
          <w:snapToGrid w:val="0"/>
          <w:kern w:val="0"/>
          <w:sz w:val="24"/>
          <w:szCs w:val="24"/>
          <w:highlight w:val="none"/>
        </w:rPr>
        <w:t>（1）乙方应根据国家和当地政府有关法律、法规和政策的规定，并结合甲方的实际情况和要求，安排合适的人员从事</w:t>
      </w:r>
      <w:r>
        <w:rPr>
          <w:rFonts w:hint="eastAsia" w:ascii="宋体" w:hAnsi="宋体"/>
          <w:snapToGrid w:val="0"/>
          <w:kern w:val="0"/>
          <w:sz w:val="24"/>
          <w:szCs w:val="24"/>
          <w:highlight w:val="none"/>
          <w:lang w:val="en-US" w:eastAsia="zh-CN"/>
        </w:rPr>
        <w:t>保安、保洁、会务及维修</w:t>
      </w:r>
      <w:r>
        <w:rPr>
          <w:rFonts w:hint="eastAsia" w:ascii="宋体" w:hAnsi="宋体"/>
          <w:snapToGrid w:val="0"/>
          <w:kern w:val="0"/>
          <w:sz w:val="24"/>
          <w:szCs w:val="24"/>
          <w:highlight w:val="none"/>
        </w:rPr>
        <w:t>服务。</w:t>
      </w:r>
      <w:r>
        <w:rPr>
          <w:rFonts w:ascii="宋体" w:hAnsi="宋体"/>
          <w:snapToGrid w:val="0"/>
          <w:kern w:val="0"/>
          <w:sz w:val="24"/>
          <w:szCs w:val="24"/>
          <w:highlight w:val="none"/>
        </w:rPr>
        <w:t xml:space="preserve"> </w:t>
      </w:r>
    </w:p>
    <w:p w14:paraId="13F91C28">
      <w:pPr>
        <w:adjustRightInd w:val="0"/>
        <w:snapToGrid w:val="0"/>
        <w:spacing w:line="360" w:lineRule="auto"/>
        <w:ind w:firstLine="480" w:firstLineChars="200"/>
        <w:rPr>
          <w:rFonts w:hint="eastAsia" w:ascii="宋体" w:hAnsi="宋体"/>
          <w:snapToGrid w:val="0"/>
          <w:kern w:val="0"/>
          <w:sz w:val="24"/>
          <w:szCs w:val="24"/>
          <w:highlight w:val="none"/>
        </w:rPr>
      </w:pPr>
      <w:r>
        <w:rPr>
          <w:rFonts w:hint="eastAsia" w:ascii="宋体" w:hAnsi="宋体"/>
          <w:snapToGrid w:val="0"/>
          <w:kern w:val="0"/>
          <w:sz w:val="24"/>
          <w:szCs w:val="24"/>
          <w:highlight w:val="none"/>
        </w:rPr>
        <w:t>（2）乙方应加强对工作人员的思想教育、行政管理和岗位培训，使其自觉遵守甲方有关安全、卫生、保密、秩序和服务等方面的规章制度；如乙方工作人员违反甲方依法制定规章制度的，按规章制度的规定进行处罚。</w:t>
      </w:r>
    </w:p>
    <w:p w14:paraId="1C2AE911">
      <w:pPr>
        <w:adjustRightInd w:val="0"/>
        <w:snapToGrid w:val="0"/>
        <w:spacing w:line="360" w:lineRule="auto"/>
        <w:ind w:firstLine="480" w:firstLineChars="200"/>
        <w:rPr>
          <w:rFonts w:hint="eastAsia"/>
          <w:sz w:val="24"/>
          <w:szCs w:val="24"/>
          <w:highlight w:val="none"/>
        </w:rPr>
      </w:pPr>
      <w:r>
        <w:rPr>
          <w:rFonts w:hint="eastAsia"/>
          <w:sz w:val="24"/>
          <w:szCs w:val="24"/>
          <w:highlight w:val="none"/>
        </w:rPr>
        <w:t>（3）乙方工作人员应满足甲方对管理和服务方面的要求。</w:t>
      </w:r>
      <w:r>
        <w:rPr>
          <w:rFonts w:hint="eastAsia"/>
          <w:sz w:val="24"/>
          <w:szCs w:val="24"/>
          <w:highlight w:val="none"/>
          <w:lang w:val="en-US" w:eastAsia="zh-CN"/>
        </w:rPr>
        <w:t>如甲方认为乙方所提供服务及相关工作人员不合格，</w:t>
      </w:r>
      <w:r>
        <w:rPr>
          <w:rFonts w:hint="eastAsia"/>
          <w:color w:val="auto"/>
          <w:sz w:val="24"/>
          <w:szCs w:val="24"/>
          <w:highlight w:val="none"/>
        </w:rPr>
        <w:t>乙方有义务无条件更换直至取得甲方的认可，</w:t>
      </w:r>
      <w:r>
        <w:rPr>
          <w:rFonts w:hint="eastAsia"/>
          <w:color w:val="auto"/>
          <w:sz w:val="24"/>
          <w:szCs w:val="24"/>
          <w:highlight w:val="none"/>
          <w:lang w:val="en-US" w:eastAsia="zh-CN"/>
        </w:rPr>
        <w:t>若</w:t>
      </w:r>
      <w:r>
        <w:rPr>
          <w:rFonts w:hint="eastAsia"/>
          <w:color w:val="auto"/>
          <w:sz w:val="24"/>
          <w:szCs w:val="24"/>
          <w:highlight w:val="none"/>
        </w:rPr>
        <w:t>乙方拒绝更换甲方认为不合格的人员或新任人员，甲方有权解除本合同。</w:t>
      </w:r>
    </w:p>
    <w:p w14:paraId="58B0074A">
      <w:pPr>
        <w:adjustRightInd w:val="0"/>
        <w:snapToGrid w:val="0"/>
        <w:spacing w:line="360" w:lineRule="auto"/>
        <w:ind w:firstLine="480" w:firstLineChars="200"/>
        <w:rPr>
          <w:rFonts w:hint="eastAsia" w:ascii="宋体" w:hAnsi="宋体"/>
          <w:snapToGrid w:val="0"/>
          <w:kern w:val="0"/>
          <w:sz w:val="24"/>
          <w:szCs w:val="24"/>
          <w:highlight w:val="none"/>
        </w:rPr>
      </w:pPr>
      <w:r>
        <w:rPr>
          <w:rFonts w:hint="eastAsia"/>
          <w:sz w:val="24"/>
          <w:szCs w:val="24"/>
          <w:highlight w:val="none"/>
        </w:rPr>
        <w:t>（4）乙方工作人员在工作期间如需请假，须填写请假条并经直接上级负责人审批后报人事部批准方能离岗。</w:t>
      </w:r>
    </w:p>
    <w:p w14:paraId="3D81888F">
      <w:pPr>
        <w:adjustRightInd w:val="0"/>
        <w:snapToGrid w:val="0"/>
        <w:spacing w:line="360" w:lineRule="auto"/>
        <w:ind w:firstLine="480" w:firstLineChars="200"/>
        <w:rPr>
          <w:rFonts w:hint="default"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rPr>
        <w:t>（5）乙方工作人员须在规定的时间内完成甲方安排的工作。</w:t>
      </w:r>
      <w:r>
        <w:rPr>
          <w:rFonts w:hint="eastAsia" w:ascii="宋体" w:hAnsi="宋体"/>
          <w:snapToGrid w:val="0"/>
          <w:kern w:val="0"/>
          <w:sz w:val="24"/>
          <w:szCs w:val="24"/>
          <w:highlight w:val="none"/>
          <w:lang w:val="en-US" w:eastAsia="zh-CN"/>
        </w:rPr>
        <w:t>如乙方未能按时完成甲方安排的工作，所造成的的一切损失由乙方承担；</w:t>
      </w:r>
      <w:r>
        <w:rPr>
          <w:rFonts w:hint="eastAsia" w:ascii="宋体" w:hAnsi="宋体" w:eastAsia="宋体" w:cs="Times New Roman"/>
          <w:sz w:val="24"/>
          <w:szCs w:val="24"/>
          <w:highlight w:val="none"/>
        </w:rPr>
        <w:t>甲方有权</w:t>
      </w:r>
      <w:r>
        <w:rPr>
          <w:rFonts w:hint="eastAsia" w:ascii="宋体" w:hAnsi="宋体" w:eastAsia="宋体" w:cs="Times New Roman"/>
          <w:sz w:val="24"/>
          <w:szCs w:val="24"/>
          <w:highlight w:val="none"/>
          <w:lang w:val="en-US" w:eastAsia="zh-CN"/>
        </w:rPr>
        <w:t>暂缓</w:t>
      </w:r>
      <w:r>
        <w:rPr>
          <w:rFonts w:hint="eastAsia" w:ascii="宋体" w:hAnsi="宋体" w:eastAsia="宋体" w:cs="Times New Roman"/>
          <w:sz w:val="24"/>
          <w:szCs w:val="24"/>
          <w:highlight w:val="none"/>
        </w:rPr>
        <w:t>付款或延迟付款且不承担任何责任。</w:t>
      </w:r>
    </w:p>
    <w:p w14:paraId="34367417">
      <w:pPr>
        <w:adjustRightInd w:val="0"/>
        <w:snapToGrid w:val="0"/>
        <w:spacing w:line="360" w:lineRule="auto"/>
        <w:ind w:firstLine="480" w:firstLineChars="200"/>
        <w:rPr>
          <w:rFonts w:ascii="宋体" w:hAnsi="宋体"/>
          <w:snapToGrid w:val="0"/>
          <w:kern w:val="0"/>
          <w:sz w:val="24"/>
          <w:szCs w:val="24"/>
          <w:highlight w:val="none"/>
        </w:rPr>
      </w:pPr>
      <w:r>
        <w:rPr>
          <w:rFonts w:hint="eastAsia" w:ascii="宋体" w:hAnsi="宋体"/>
          <w:snapToGrid w:val="0"/>
          <w:kern w:val="0"/>
          <w:sz w:val="24"/>
          <w:szCs w:val="24"/>
          <w:highlight w:val="none"/>
        </w:rPr>
        <w:t>（6）乙方及其工作人员在甲方遇有紧急或突发事件时，应当按应急预案采取有效措施制止事态的发展，保护好现场，维护好秩序，同时，应当服从甲方的临时工作调遣。</w:t>
      </w:r>
      <w:r>
        <w:rPr>
          <w:rFonts w:hint="eastAsia" w:ascii="宋体" w:hAnsi="宋体"/>
          <w:sz w:val="24"/>
          <w:szCs w:val="24"/>
          <w:highlight w:val="none"/>
        </w:rPr>
        <w:t>工作过程中乙方</w:t>
      </w:r>
      <w:r>
        <w:rPr>
          <w:rFonts w:hint="eastAsia" w:ascii="宋体" w:hAnsi="宋体"/>
          <w:snapToGrid w:val="0"/>
          <w:kern w:val="0"/>
          <w:sz w:val="24"/>
          <w:szCs w:val="24"/>
          <w:highlight w:val="none"/>
        </w:rPr>
        <w:t>及其工作人员</w:t>
      </w:r>
      <w:r>
        <w:rPr>
          <w:rFonts w:hint="eastAsia" w:ascii="宋体" w:hAnsi="宋体"/>
          <w:sz w:val="24"/>
          <w:szCs w:val="24"/>
          <w:highlight w:val="none"/>
        </w:rPr>
        <w:t>应将异常情况及改善对策及时报知甲方。</w:t>
      </w:r>
    </w:p>
    <w:p w14:paraId="2E574994">
      <w:pPr>
        <w:adjustRightInd w:val="0"/>
        <w:snapToGrid w:val="0"/>
        <w:spacing w:line="360" w:lineRule="auto"/>
        <w:ind w:firstLine="482" w:firstLineChars="200"/>
        <w:rPr>
          <w:rFonts w:ascii="宋体" w:hAnsi="宋体"/>
          <w:b/>
          <w:snapToGrid w:val="0"/>
          <w:kern w:val="0"/>
          <w:sz w:val="24"/>
          <w:szCs w:val="24"/>
          <w:highlight w:val="none"/>
        </w:rPr>
      </w:pPr>
      <w:r>
        <w:rPr>
          <w:rFonts w:hint="eastAsia" w:ascii="宋体" w:hAnsi="宋体"/>
          <w:b/>
          <w:snapToGrid w:val="0"/>
          <w:kern w:val="0"/>
          <w:sz w:val="24"/>
          <w:szCs w:val="24"/>
          <w:highlight w:val="none"/>
        </w:rPr>
        <w:t>第五条服务内容及管理要求</w:t>
      </w:r>
    </w:p>
    <w:p w14:paraId="2CE9DE69">
      <w:pPr>
        <w:pStyle w:val="319"/>
        <w:numPr>
          <w:ilvl w:val="0"/>
          <w:numId w:val="3"/>
        </w:numPr>
        <w:adjustRightInd w:val="0"/>
        <w:snapToGrid w:val="0"/>
        <w:spacing w:line="360" w:lineRule="auto"/>
        <w:ind w:firstLineChars="0"/>
        <w:rPr>
          <w:sz w:val="24"/>
          <w:szCs w:val="24"/>
          <w:highlight w:val="none"/>
        </w:rPr>
      </w:pPr>
      <w:r>
        <w:rPr>
          <w:rFonts w:hint="eastAsia"/>
          <w:sz w:val="24"/>
          <w:szCs w:val="24"/>
          <w:highlight w:val="none"/>
        </w:rPr>
        <w:t>服务内容：</w:t>
      </w:r>
    </w:p>
    <w:p w14:paraId="444A988D">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乙方员工按照甲方要求，为甲方提供</w:t>
      </w:r>
      <w:r>
        <w:rPr>
          <w:rFonts w:hint="eastAsia" w:ascii="宋体" w:hAnsi="宋体"/>
          <w:snapToGrid w:val="0"/>
          <w:kern w:val="0"/>
          <w:sz w:val="24"/>
          <w:szCs w:val="24"/>
          <w:highlight w:val="none"/>
        </w:rPr>
        <w:t>服务并具备所在岗位应有的工作技能</w:t>
      </w:r>
      <w:r>
        <w:rPr>
          <w:rFonts w:hint="eastAsia" w:ascii="宋体" w:hAnsi="宋体"/>
          <w:sz w:val="24"/>
          <w:highlight w:val="none"/>
        </w:rPr>
        <w:t>。</w:t>
      </w:r>
    </w:p>
    <w:p w14:paraId="5565791E">
      <w:pPr>
        <w:pStyle w:val="319"/>
        <w:numPr>
          <w:ilvl w:val="0"/>
          <w:numId w:val="3"/>
        </w:numPr>
        <w:adjustRightInd w:val="0"/>
        <w:snapToGrid w:val="0"/>
        <w:spacing w:line="360" w:lineRule="auto"/>
        <w:ind w:firstLineChars="0"/>
        <w:rPr>
          <w:rFonts w:ascii="宋体" w:hAnsi="宋体"/>
          <w:sz w:val="24"/>
          <w:highlight w:val="none"/>
        </w:rPr>
      </w:pPr>
      <w:r>
        <w:rPr>
          <w:rFonts w:hint="eastAsia" w:ascii="宋体" w:hAnsi="宋体"/>
          <w:sz w:val="24"/>
          <w:highlight w:val="none"/>
        </w:rPr>
        <w:t>管理要求</w:t>
      </w:r>
    </w:p>
    <w:p w14:paraId="520C13F3">
      <w:pPr>
        <w:pStyle w:val="319"/>
        <w:adjustRightInd w:val="0"/>
        <w:snapToGrid w:val="0"/>
        <w:spacing w:line="360" w:lineRule="auto"/>
        <w:ind w:firstLine="424" w:firstLineChars="177"/>
        <w:rPr>
          <w:rFonts w:ascii="宋体" w:hAnsi="宋体"/>
          <w:sz w:val="24"/>
          <w:highlight w:val="none"/>
        </w:rPr>
      </w:pPr>
      <w:r>
        <w:rPr>
          <w:rFonts w:hint="eastAsia" w:ascii="宋体" w:hAnsi="宋体"/>
          <w:sz w:val="24"/>
          <w:highlight w:val="none"/>
        </w:rPr>
        <w:t>（1）乙方人员需服从甲方管理人员的工作安排。</w:t>
      </w:r>
    </w:p>
    <w:p w14:paraId="55F892EB">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（2）乙方人员要确保工作时间和工作质量。</w:t>
      </w:r>
    </w:p>
    <w:p w14:paraId="58767027">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（3）乙方人员要有工作热情，礼貌待人，遵纪守法，尊重甲方领导和工作人员及甲方客户，遵守甲方的有关规章制度。</w:t>
      </w:r>
    </w:p>
    <w:p w14:paraId="1CEC4BF2">
      <w:pPr>
        <w:adjustRightInd w:val="0"/>
        <w:snapToGrid w:val="0"/>
        <w:spacing w:line="360" w:lineRule="auto"/>
        <w:ind w:firstLine="480" w:firstLineChars="200"/>
        <w:rPr>
          <w:rFonts w:ascii="仿宋_GB2312" w:eastAsia="仿宋_GB2312"/>
          <w:b/>
          <w:sz w:val="30"/>
          <w:szCs w:val="30"/>
          <w:highlight w:val="none"/>
        </w:rPr>
      </w:pPr>
      <w:r>
        <w:rPr>
          <w:rFonts w:hint="eastAsia" w:ascii="宋体" w:hAnsi="宋体"/>
          <w:sz w:val="24"/>
          <w:highlight w:val="none"/>
        </w:rPr>
        <w:t>（4）乙方人员要注意自身形象，衣帽整洁，爱护甲方的设备设施，如有人为损坏，照价赔偿。</w:t>
      </w:r>
    </w:p>
    <w:p w14:paraId="70BC4FA9">
      <w:pPr>
        <w:pStyle w:val="319"/>
        <w:adjustRightInd w:val="0"/>
        <w:snapToGrid w:val="0"/>
        <w:spacing w:line="360" w:lineRule="auto"/>
        <w:ind w:firstLine="424" w:firstLineChars="177"/>
        <w:rPr>
          <w:rFonts w:ascii="宋体" w:hAnsi="宋体"/>
          <w:sz w:val="24"/>
          <w:highlight w:val="none"/>
        </w:rPr>
      </w:pPr>
      <w:r>
        <w:rPr>
          <w:rFonts w:hint="eastAsia" w:ascii="宋体" w:hAnsi="宋体"/>
          <w:sz w:val="24"/>
          <w:highlight w:val="none"/>
        </w:rPr>
        <w:t>（5）在甲方工作期间，其日常行为由乙方管理并授权甲方协助管理，因管理不善引发的事件由责任方负责处理。</w:t>
      </w:r>
    </w:p>
    <w:p w14:paraId="0FA4CEF1">
      <w:pPr>
        <w:adjustRightInd w:val="0"/>
        <w:snapToGrid w:val="0"/>
        <w:spacing w:line="360" w:lineRule="auto"/>
        <w:ind w:firstLine="424" w:firstLineChars="177"/>
        <w:rPr>
          <w:rFonts w:ascii="宋体" w:hAnsi="宋体"/>
          <w:sz w:val="24"/>
          <w:highlight w:val="none"/>
        </w:rPr>
      </w:pPr>
      <w:r>
        <w:rPr>
          <w:rFonts w:hint="eastAsia" w:ascii="宋体" w:hAnsi="宋体"/>
          <w:sz w:val="24"/>
          <w:highlight w:val="none"/>
        </w:rPr>
        <w:t>（6）乙方派专员与甲方主管部门、主管人员联系工作，了解乙方员工的工作情况。</w:t>
      </w:r>
    </w:p>
    <w:p w14:paraId="1549F236">
      <w:pPr>
        <w:adjustRightInd w:val="0"/>
        <w:snapToGrid w:val="0"/>
        <w:spacing w:line="360" w:lineRule="auto"/>
        <w:ind w:firstLine="424" w:firstLineChars="177"/>
        <w:rPr>
          <w:rFonts w:ascii="宋体" w:hAnsi="宋体"/>
          <w:sz w:val="24"/>
          <w:highlight w:val="none"/>
        </w:rPr>
      </w:pPr>
      <w:r>
        <w:rPr>
          <w:rFonts w:hint="eastAsia" w:ascii="宋体" w:hAnsi="宋体"/>
          <w:sz w:val="24"/>
          <w:highlight w:val="none"/>
        </w:rPr>
        <w:t>（7）</w:t>
      </w:r>
      <w:r>
        <w:rPr>
          <w:rFonts w:hint="eastAsia" w:ascii="宋体" w:hAnsi="宋体"/>
          <w:spacing w:val="2"/>
          <w:sz w:val="24"/>
          <w:highlight w:val="none"/>
        </w:rPr>
        <w:t>乙方人员在服务期间，</w:t>
      </w:r>
      <w:r>
        <w:rPr>
          <w:rFonts w:hint="eastAsia" w:ascii="宋体" w:hAnsi="宋体"/>
          <w:sz w:val="24"/>
          <w:highlight w:val="none"/>
        </w:rPr>
        <w:t>必须服从甲方的合法管理，遵守乙方和甲方的相关合法规定，违规事项由甲方记录并通知乙方。</w:t>
      </w:r>
    </w:p>
    <w:p w14:paraId="6025043D">
      <w:pPr>
        <w:adjustRightInd w:val="0"/>
        <w:snapToGrid w:val="0"/>
        <w:spacing w:line="360" w:lineRule="auto"/>
        <w:ind w:firstLine="482" w:firstLineChars="200"/>
        <w:rPr>
          <w:rFonts w:ascii="宋体" w:hAnsi="宋体"/>
          <w:b/>
          <w:snapToGrid w:val="0"/>
          <w:kern w:val="0"/>
          <w:sz w:val="24"/>
          <w:szCs w:val="24"/>
          <w:highlight w:val="none"/>
        </w:rPr>
      </w:pPr>
      <w:r>
        <w:rPr>
          <w:rFonts w:hint="eastAsia" w:ascii="宋体" w:hAnsi="宋体"/>
          <w:b/>
          <w:snapToGrid w:val="0"/>
          <w:kern w:val="0"/>
          <w:sz w:val="24"/>
          <w:szCs w:val="24"/>
          <w:highlight w:val="none"/>
        </w:rPr>
        <w:t>第六条 违约责任</w:t>
      </w:r>
    </w:p>
    <w:p w14:paraId="36B37448">
      <w:pPr>
        <w:pStyle w:val="319"/>
        <w:numPr>
          <w:ilvl w:val="0"/>
          <w:numId w:val="4"/>
        </w:numPr>
        <w:adjustRightInd w:val="0"/>
        <w:snapToGrid w:val="0"/>
        <w:spacing w:line="360" w:lineRule="auto"/>
        <w:ind w:left="0" w:firstLine="566" w:firstLineChars="236"/>
        <w:rPr>
          <w:rFonts w:ascii="宋体" w:hAnsi="宋体"/>
          <w:snapToGrid w:val="0"/>
          <w:kern w:val="0"/>
          <w:sz w:val="24"/>
          <w:szCs w:val="24"/>
          <w:highlight w:val="none"/>
        </w:rPr>
      </w:pPr>
      <w:r>
        <w:rPr>
          <w:rFonts w:hint="eastAsia" w:ascii="宋体" w:hAnsi="宋体"/>
          <w:snapToGrid w:val="0"/>
          <w:kern w:val="0"/>
          <w:sz w:val="24"/>
          <w:szCs w:val="24"/>
          <w:highlight w:val="none"/>
        </w:rPr>
        <w:t>甲乙双方未履行本合同约定的义务，均为违约行为，违约方应赔偿另一方实际经济损失</w:t>
      </w:r>
      <w:r>
        <w:rPr>
          <w:rFonts w:hint="eastAsia" w:ascii="宋体" w:hAnsi="宋体"/>
          <w:snapToGrid w:val="0"/>
          <w:kern w:val="0"/>
          <w:sz w:val="24"/>
          <w:szCs w:val="24"/>
          <w:highlight w:val="none"/>
        </w:rPr>
        <w:tab/>
      </w:r>
      <w:r>
        <w:rPr>
          <w:rFonts w:hint="eastAsia" w:ascii="宋体" w:hAnsi="宋体"/>
          <w:snapToGrid w:val="0"/>
          <w:kern w:val="0"/>
          <w:sz w:val="24"/>
          <w:szCs w:val="24"/>
          <w:highlight w:val="none"/>
        </w:rPr>
        <w:t>。</w:t>
      </w:r>
    </w:p>
    <w:p w14:paraId="5D54D133">
      <w:pPr>
        <w:adjustRightInd w:val="0"/>
        <w:snapToGrid w:val="0"/>
        <w:spacing w:line="360" w:lineRule="auto"/>
        <w:ind w:firstLine="566" w:firstLineChars="236"/>
        <w:rPr>
          <w:rFonts w:ascii="宋体" w:hAnsi="宋体"/>
          <w:snapToGrid w:val="0"/>
          <w:kern w:val="0"/>
          <w:sz w:val="24"/>
          <w:szCs w:val="24"/>
          <w:highlight w:val="none"/>
        </w:rPr>
      </w:pPr>
      <w:r>
        <w:rPr>
          <w:rFonts w:hint="eastAsia" w:ascii="宋体" w:hAnsi="宋体"/>
          <w:sz w:val="24"/>
          <w:szCs w:val="24"/>
          <w:highlight w:val="none"/>
        </w:rPr>
        <w:t>2.合同期内，甲、乙双方均不得临时中止</w:t>
      </w:r>
      <w:r>
        <w:rPr>
          <w:rFonts w:hint="eastAsia" w:ascii="宋体" w:hAnsi="宋体"/>
          <w:sz w:val="24"/>
          <w:szCs w:val="24"/>
          <w:highlight w:val="none"/>
          <w:lang w:val="en-US" w:eastAsia="zh-CN"/>
        </w:rPr>
        <w:t>服务</w:t>
      </w:r>
      <w:r>
        <w:rPr>
          <w:rFonts w:hint="eastAsia" w:ascii="宋体" w:hAnsi="宋体"/>
          <w:sz w:val="24"/>
          <w:szCs w:val="24"/>
          <w:highlight w:val="none"/>
        </w:rPr>
        <w:t>合作，否则违约方应另行支付2个月服务费用给守约方，如给对方造成重大损失的将承担相应的费用；</w:t>
      </w:r>
    </w:p>
    <w:p w14:paraId="628E1B20">
      <w:pPr>
        <w:adjustRightInd w:val="0"/>
        <w:snapToGrid w:val="0"/>
        <w:spacing w:line="360" w:lineRule="auto"/>
        <w:ind w:firstLine="566" w:firstLineChars="236"/>
        <w:rPr>
          <w:rFonts w:hint="eastAsia" w:ascii="宋体" w:hAnsi="宋体"/>
          <w:snapToGrid w:val="0"/>
          <w:kern w:val="0"/>
          <w:sz w:val="24"/>
          <w:szCs w:val="24"/>
          <w:highlight w:val="none"/>
        </w:rPr>
      </w:pPr>
      <w:r>
        <w:rPr>
          <w:rFonts w:hint="eastAsia" w:ascii="宋体" w:hAnsi="宋体"/>
          <w:snapToGrid w:val="0"/>
          <w:kern w:val="0"/>
          <w:sz w:val="24"/>
          <w:szCs w:val="24"/>
          <w:highlight w:val="none"/>
        </w:rPr>
        <w:t>3</w:t>
      </w:r>
      <w:r>
        <w:rPr>
          <w:rFonts w:hint="eastAsia" w:ascii="宋体" w:hAnsi="宋体"/>
          <w:sz w:val="24"/>
          <w:szCs w:val="24"/>
          <w:highlight w:val="none"/>
        </w:rPr>
        <w:t>.乙方在履行合同过程中获知甲方的业务资料信息，无论在合同期间或合同期满后，均应予以保密。未经甲方事先书面授权，乙方不得以任何方式向同行业、其他组织或个人泄密、转让、许可使用及交换，更不能利用相关信息进行任何商业活动。</w:t>
      </w:r>
    </w:p>
    <w:p w14:paraId="64A07B00">
      <w:pPr>
        <w:adjustRightInd w:val="0"/>
        <w:snapToGrid w:val="0"/>
        <w:spacing w:line="360" w:lineRule="auto"/>
        <w:ind w:firstLine="480" w:firstLineChars="200"/>
        <w:rPr>
          <w:rFonts w:ascii="宋体" w:hAnsi="宋体"/>
          <w:snapToGrid w:val="0"/>
          <w:kern w:val="0"/>
          <w:sz w:val="24"/>
          <w:szCs w:val="24"/>
          <w:highlight w:val="none"/>
        </w:rPr>
      </w:pPr>
      <w:r>
        <w:rPr>
          <w:rFonts w:hint="eastAsia" w:ascii="宋体" w:hAnsi="宋体"/>
          <w:snapToGrid w:val="0"/>
          <w:kern w:val="0"/>
          <w:sz w:val="24"/>
          <w:szCs w:val="24"/>
          <w:highlight w:val="none"/>
          <w:lang w:val="en-US" w:eastAsia="zh-CN"/>
        </w:rPr>
        <w:t>4</w:t>
      </w:r>
      <w:r>
        <w:rPr>
          <w:rFonts w:hint="eastAsia" w:ascii="宋体" w:hAnsi="宋体"/>
          <w:snapToGrid w:val="0"/>
          <w:kern w:val="0"/>
          <w:sz w:val="24"/>
          <w:szCs w:val="24"/>
          <w:highlight w:val="none"/>
        </w:rPr>
        <w:t>. 乙方员工在不幸发生意外伤害事故受伤、死亡等情况，由乙方按照国家及重庆市相关规定进行处理。</w:t>
      </w:r>
    </w:p>
    <w:p w14:paraId="039B222D">
      <w:pPr>
        <w:adjustRightInd w:val="0"/>
        <w:snapToGrid w:val="0"/>
        <w:spacing w:line="360" w:lineRule="auto"/>
        <w:ind w:firstLine="482" w:firstLineChars="200"/>
        <w:rPr>
          <w:rFonts w:ascii="宋体" w:hAnsi="宋体"/>
          <w:b/>
          <w:snapToGrid w:val="0"/>
          <w:kern w:val="0"/>
          <w:sz w:val="24"/>
          <w:szCs w:val="24"/>
          <w:highlight w:val="none"/>
        </w:rPr>
      </w:pPr>
      <w:r>
        <w:rPr>
          <w:rFonts w:hint="eastAsia" w:ascii="宋体" w:hAnsi="宋体"/>
          <w:b/>
          <w:snapToGrid w:val="0"/>
          <w:kern w:val="0"/>
          <w:sz w:val="24"/>
          <w:szCs w:val="24"/>
          <w:highlight w:val="none"/>
        </w:rPr>
        <w:t>第七条 不可抗力</w:t>
      </w:r>
    </w:p>
    <w:p w14:paraId="68C57BDA">
      <w:pPr>
        <w:adjustRightInd w:val="0"/>
        <w:snapToGrid w:val="0"/>
        <w:spacing w:line="360" w:lineRule="auto"/>
        <w:ind w:firstLine="480" w:firstLineChars="200"/>
        <w:rPr>
          <w:sz w:val="24"/>
          <w:szCs w:val="24"/>
          <w:highlight w:val="none"/>
        </w:rPr>
      </w:pPr>
      <w:r>
        <w:rPr>
          <w:rFonts w:hint="eastAsia" w:ascii="宋体" w:hAnsi="宋体" w:cs="宋体"/>
          <w:kern w:val="0"/>
          <w:sz w:val="24"/>
          <w:szCs w:val="24"/>
          <w:highlight w:val="none"/>
        </w:rPr>
        <w:t>甲乙双方的任何一方由于法定不可抗力因素不能履行本合同时，应第一时间告知对方。</w:t>
      </w:r>
      <w:r>
        <w:rPr>
          <w:rFonts w:hint="eastAsia" w:ascii="宋体" w:hAnsi="宋体"/>
          <w:sz w:val="24"/>
          <w:szCs w:val="24"/>
          <w:highlight w:val="none"/>
        </w:rPr>
        <w:t>受</w:t>
      </w:r>
      <w:r>
        <w:rPr>
          <w:rFonts w:hint="eastAsia"/>
          <w:sz w:val="24"/>
          <w:szCs w:val="24"/>
          <w:highlight w:val="none"/>
        </w:rPr>
        <w:t>不可抗力影响的一方或双方有义务采取措施，将因不可抗力造成的损失降低到最低限度。</w:t>
      </w:r>
    </w:p>
    <w:p w14:paraId="27D14116">
      <w:pPr>
        <w:adjustRightInd w:val="0"/>
        <w:snapToGrid w:val="0"/>
        <w:spacing w:line="360" w:lineRule="auto"/>
        <w:ind w:right="-147" w:rightChars="-70" w:firstLine="482" w:firstLineChars="200"/>
        <w:jc w:val="left"/>
        <w:rPr>
          <w:rFonts w:ascii="宋体" w:hAnsi="宋体"/>
          <w:b/>
          <w:bCs/>
          <w:sz w:val="24"/>
          <w:szCs w:val="24"/>
          <w:highlight w:val="none"/>
        </w:rPr>
      </w:pPr>
      <w:r>
        <w:rPr>
          <w:rFonts w:hint="eastAsia" w:ascii="宋体" w:hAnsi="宋体" w:cs="宋体"/>
          <w:b/>
          <w:kern w:val="0"/>
          <w:sz w:val="24"/>
          <w:szCs w:val="24"/>
          <w:highlight w:val="none"/>
        </w:rPr>
        <w:t>第八条</w:t>
      </w:r>
      <w:r>
        <w:rPr>
          <w:rFonts w:hint="eastAsia" w:ascii="宋体" w:hAnsi="宋体"/>
          <w:b/>
          <w:bCs/>
          <w:sz w:val="24"/>
          <w:szCs w:val="24"/>
          <w:highlight w:val="none"/>
        </w:rPr>
        <w:t>变更、解除和终止</w:t>
      </w:r>
    </w:p>
    <w:p w14:paraId="24443411">
      <w:pPr>
        <w:adjustRightInd w:val="0"/>
        <w:snapToGrid w:val="0"/>
        <w:spacing w:line="360" w:lineRule="auto"/>
        <w:ind w:right="-147" w:rightChars="-70" w:firstLine="480" w:firstLineChars="200"/>
        <w:jc w:val="left"/>
        <w:rPr>
          <w:rFonts w:ascii="宋体" w:hAnsi="宋体"/>
          <w:sz w:val="24"/>
          <w:szCs w:val="24"/>
          <w:highlight w:val="none"/>
        </w:rPr>
      </w:pPr>
      <w:r>
        <w:rPr>
          <w:rFonts w:hint="eastAsia" w:ascii="宋体" w:hAnsi="宋体"/>
          <w:sz w:val="24"/>
          <w:szCs w:val="24"/>
          <w:highlight w:val="none"/>
        </w:rPr>
        <w:t>1．甲乙双方协商一致可变更本合同，但应采用书面形式。</w:t>
      </w:r>
    </w:p>
    <w:p w14:paraId="3E044A69">
      <w:pPr>
        <w:adjustRightInd w:val="0"/>
        <w:snapToGrid w:val="0"/>
        <w:spacing w:line="360" w:lineRule="auto"/>
        <w:ind w:right="-147" w:rightChars="-70" w:firstLine="480" w:firstLineChars="200"/>
        <w:jc w:val="left"/>
        <w:rPr>
          <w:rFonts w:ascii="宋体" w:hAnsi="宋体"/>
          <w:sz w:val="24"/>
          <w:szCs w:val="24"/>
          <w:highlight w:val="none"/>
        </w:rPr>
      </w:pPr>
      <w:r>
        <w:rPr>
          <w:rFonts w:hint="eastAsia" w:ascii="宋体" w:hAnsi="宋体"/>
          <w:sz w:val="24"/>
          <w:szCs w:val="24"/>
          <w:highlight w:val="none"/>
        </w:rPr>
        <w:t>2．有下列情形之一的，可以解除合同：</w:t>
      </w:r>
    </w:p>
    <w:p w14:paraId="0A55BD21">
      <w:pPr>
        <w:adjustRightInd w:val="0"/>
        <w:snapToGrid w:val="0"/>
        <w:spacing w:line="360" w:lineRule="auto"/>
        <w:ind w:right="-147" w:rightChars="-70" w:firstLine="480" w:firstLineChars="200"/>
        <w:jc w:val="left"/>
        <w:rPr>
          <w:rFonts w:ascii="宋体" w:hAnsi="宋体"/>
          <w:sz w:val="24"/>
          <w:szCs w:val="24"/>
          <w:highlight w:val="none"/>
        </w:rPr>
      </w:pPr>
      <w:r>
        <w:rPr>
          <w:rFonts w:hint="eastAsia" w:ascii="宋体" w:hAnsi="宋体"/>
          <w:sz w:val="24"/>
          <w:szCs w:val="24"/>
          <w:highlight w:val="none"/>
        </w:rPr>
        <w:t>（1）因不可抗力致使不能实现合同目的。</w:t>
      </w:r>
    </w:p>
    <w:p w14:paraId="4323D9FE">
      <w:pPr>
        <w:adjustRightInd w:val="0"/>
        <w:snapToGrid w:val="0"/>
        <w:spacing w:line="360" w:lineRule="auto"/>
        <w:ind w:right="-147" w:rightChars="-70" w:firstLine="480" w:firstLineChars="200"/>
        <w:jc w:val="left"/>
        <w:rPr>
          <w:rFonts w:ascii="宋体" w:hAnsi="宋体"/>
          <w:sz w:val="24"/>
          <w:szCs w:val="24"/>
          <w:highlight w:val="none"/>
        </w:rPr>
      </w:pPr>
      <w:r>
        <w:rPr>
          <w:rFonts w:hint="eastAsia" w:ascii="宋体" w:hAnsi="宋体"/>
          <w:sz w:val="24"/>
          <w:szCs w:val="24"/>
          <w:highlight w:val="none"/>
        </w:rPr>
        <w:t>（2）一方因经营方针的调整，提前45日通知对方并经协商一致后解除本合同。</w:t>
      </w:r>
    </w:p>
    <w:p w14:paraId="505DE245">
      <w:pPr>
        <w:adjustRightInd w:val="0"/>
        <w:snapToGrid w:val="0"/>
        <w:spacing w:line="360" w:lineRule="auto"/>
        <w:ind w:right="-147" w:rightChars="-70" w:firstLine="480" w:firstLineChars="200"/>
        <w:jc w:val="left"/>
        <w:rPr>
          <w:rFonts w:ascii="宋体" w:hAnsi="宋体"/>
          <w:sz w:val="24"/>
          <w:szCs w:val="24"/>
          <w:highlight w:val="none"/>
        </w:rPr>
      </w:pPr>
      <w:r>
        <w:rPr>
          <w:rFonts w:hint="eastAsia" w:ascii="宋体" w:hAnsi="宋体"/>
          <w:sz w:val="24"/>
          <w:szCs w:val="24"/>
          <w:highlight w:val="none"/>
        </w:rPr>
        <w:t>（3）合同履行期限届满之前，一方明确表示或以实际行动表明不履行合同义务的（包括但不限于未及时足额支付</w:t>
      </w:r>
      <w:r>
        <w:rPr>
          <w:rFonts w:hint="eastAsia" w:ascii="宋体" w:hAnsi="宋体"/>
          <w:sz w:val="24"/>
          <w:szCs w:val="24"/>
          <w:highlight w:val="none"/>
          <w:lang w:val="en-US" w:eastAsia="zh-CN"/>
        </w:rPr>
        <w:t>服务</w:t>
      </w:r>
      <w:r>
        <w:rPr>
          <w:rFonts w:hint="eastAsia" w:ascii="宋体" w:hAnsi="宋体"/>
          <w:sz w:val="24"/>
          <w:szCs w:val="24"/>
          <w:highlight w:val="none"/>
        </w:rPr>
        <w:t>费</w:t>
      </w:r>
      <w:r>
        <w:rPr>
          <w:rFonts w:hint="eastAsia" w:ascii="宋体" w:hAnsi="宋体"/>
          <w:sz w:val="24"/>
          <w:szCs w:val="24"/>
          <w:highlight w:val="none"/>
          <w:lang w:val="en-US" w:eastAsia="zh-CN"/>
        </w:rPr>
        <w:t>用</w:t>
      </w:r>
      <w:r>
        <w:rPr>
          <w:rFonts w:hint="eastAsia" w:ascii="宋体" w:hAnsi="宋体"/>
          <w:sz w:val="24"/>
          <w:szCs w:val="24"/>
          <w:highlight w:val="none"/>
        </w:rPr>
        <w:t>超过1个月），另一方可以解除合同。</w:t>
      </w:r>
    </w:p>
    <w:p w14:paraId="42AFAFDF">
      <w:pPr>
        <w:adjustRightInd w:val="0"/>
        <w:snapToGrid w:val="0"/>
        <w:spacing w:line="360" w:lineRule="auto"/>
        <w:ind w:right="-147" w:rightChars="-70" w:firstLine="480" w:firstLineChars="200"/>
        <w:jc w:val="left"/>
        <w:rPr>
          <w:rFonts w:hint="eastAsia" w:ascii="宋体" w:hAnsi="宋体"/>
          <w:sz w:val="24"/>
          <w:szCs w:val="24"/>
          <w:highlight w:val="none"/>
        </w:rPr>
      </w:pPr>
      <w:r>
        <w:rPr>
          <w:rFonts w:hint="eastAsia" w:ascii="宋体" w:hAnsi="宋体"/>
          <w:sz w:val="24"/>
          <w:szCs w:val="24"/>
          <w:highlight w:val="none"/>
        </w:rPr>
        <w:t>（4）因一方违约致使合同无法继续履行，另一方可以解除合同。</w:t>
      </w:r>
    </w:p>
    <w:p w14:paraId="33D93F7A">
      <w:pPr>
        <w:adjustRightInd w:val="0"/>
        <w:snapToGrid w:val="0"/>
        <w:spacing w:line="360" w:lineRule="auto"/>
        <w:ind w:right="-147" w:rightChars="-70" w:firstLine="480" w:firstLineChars="200"/>
        <w:jc w:val="left"/>
        <w:rPr>
          <w:rFonts w:hint="eastAsia" w:ascii="宋体" w:hAnsi="宋体" w:eastAsia="宋体"/>
          <w:sz w:val="24"/>
          <w:szCs w:val="24"/>
          <w:highlight w:val="none"/>
          <w:lang w:eastAsia="zh-CN"/>
        </w:rPr>
      </w:pPr>
      <w:r>
        <w:rPr>
          <w:rFonts w:hint="eastAsia" w:ascii="宋体" w:hAnsi="宋体"/>
          <w:sz w:val="24"/>
          <w:szCs w:val="24"/>
          <w:highlight w:val="none"/>
        </w:rPr>
        <w:t>（5）因前述（3）（4）款导致解除合同的，违约方应向守约方支付2个月的服务费用作为补偿</w:t>
      </w:r>
      <w:r>
        <w:rPr>
          <w:rFonts w:hint="eastAsia" w:ascii="宋体" w:hAnsi="宋体"/>
          <w:sz w:val="24"/>
          <w:szCs w:val="24"/>
          <w:highlight w:val="none"/>
          <w:lang w:eastAsia="zh-CN"/>
        </w:rPr>
        <w:t>。</w:t>
      </w:r>
    </w:p>
    <w:p w14:paraId="29945E41">
      <w:pPr>
        <w:adjustRightInd w:val="0"/>
        <w:snapToGrid w:val="0"/>
        <w:spacing w:line="360" w:lineRule="auto"/>
        <w:ind w:firstLine="480" w:firstLineChars="200"/>
        <w:rPr>
          <w:sz w:val="24"/>
          <w:szCs w:val="24"/>
          <w:highlight w:val="none"/>
        </w:rPr>
      </w:pPr>
      <w:r>
        <w:rPr>
          <w:rFonts w:hint="eastAsia"/>
          <w:sz w:val="24"/>
          <w:szCs w:val="24"/>
          <w:highlight w:val="none"/>
          <w:lang w:val="en-US" w:eastAsia="zh-CN"/>
        </w:rPr>
        <w:t>3</w:t>
      </w:r>
      <w:r>
        <w:rPr>
          <w:rFonts w:hint="eastAsia"/>
          <w:sz w:val="24"/>
          <w:szCs w:val="24"/>
          <w:highlight w:val="none"/>
        </w:rPr>
        <w:t>、甲方若需在本合同规定服务内容之外增加其它服务内容或甲、乙双方若需对本合同的相关条款进行增删、修改，甲、乙方双方可协商另行签订补充协议。</w:t>
      </w:r>
    </w:p>
    <w:p w14:paraId="7240A430">
      <w:pPr>
        <w:tabs>
          <w:tab w:val="left" w:pos="0"/>
        </w:tabs>
        <w:adjustRightInd w:val="0"/>
        <w:snapToGrid w:val="0"/>
        <w:spacing w:line="360" w:lineRule="auto"/>
        <w:ind w:firstLine="482" w:firstLineChars="200"/>
        <w:rPr>
          <w:rFonts w:ascii="宋体" w:hAnsi="宋体"/>
          <w:b/>
          <w:snapToGrid w:val="0"/>
          <w:kern w:val="0"/>
          <w:sz w:val="24"/>
          <w:szCs w:val="24"/>
          <w:highlight w:val="none"/>
        </w:rPr>
      </w:pPr>
      <w:r>
        <w:rPr>
          <w:rFonts w:hint="eastAsia" w:ascii="宋体" w:hAnsi="宋体"/>
          <w:b/>
          <w:snapToGrid w:val="0"/>
          <w:kern w:val="0"/>
          <w:sz w:val="24"/>
          <w:szCs w:val="24"/>
          <w:highlight w:val="none"/>
        </w:rPr>
        <w:t>第九条 争议解决</w:t>
      </w:r>
    </w:p>
    <w:p w14:paraId="10519DD3">
      <w:pPr>
        <w:adjustRightInd w:val="0"/>
        <w:snapToGrid w:val="0"/>
        <w:spacing w:line="360" w:lineRule="auto"/>
        <w:ind w:firstLine="480" w:firstLineChars="200"/>
        <w:rPr>
          <w:sz w:val="24"/>
          <w:szCs w:val="24"/>
          <w:highlight w:val="none"/>
        </w:rPr>
      </w:pPr>
      <w:r>
        <w:rPr>
          <w:rFonts w:hint="eastAsia"/>
          <w:sz w:val="24"/>
          <w:szCs w:val="24"/>
          <w:highlight w:val="none"/>
        </w:rPr>
        <w:t>本合同签订于乙方所在地，凡因本合同引起的或与本合同有关的任何争议，甲、乙双方应友好协商解决，如不能达成一致意见，应向乙方经营所在地人民法院提起诉讼。在诉讼或仲裁期间，本合同不涉及争议的条款仍须履行。</w:t>
      </w:r>
    </w:p>
    <w:p w14:paraId="579650E4">
      <w:pPr>
        <w:adjustRightInd w:val="0"/>
        <w:snapToGrid w:val="0"/>
        <w:spacing w:line="360" w:lineRule="auto"/>
        <w:ind w:firstLine="482" w:firstLineChars="200"/>
        <w:rPr>
          <w:rFonts w:ascii="宋体" w:hAnsi="宋体"/>
          <w:b/>
          <w:sz w:val="24"/>
          <w:szCs w:val="24"/>
          <w:highlight w:val="none"/>
        </w:rPr>
      </w:pPr>
      <w:r>
        <w:rPr>
          <w:rFonts w:hint="eastAsia" w:ascii="宋体" w:hAnsi="宋体"/>
          <w:b/>
          <w:snapToGrid w:val="0"/>
          <w:kern w:val="0"/>
          <w:sz w:val="24"/>
          <w:szCs w:val="24"/>
          <w:highlight w:val="none"/>
        </w:rPr>
        <w:t xml:space="preserve">第十条 </w:t>
      </w:r>
      <w:r>
        <w:rPr>
          <w:rFonts w:hint="eastAsia" w:ascii="宋体" w:hAnsi="宋体"/>
          <w:b/>
          <w:sz w:val="24"/>
          <w:szCs w:val="24"/>
          <w:highlight w:val="none"/>
        </w:rPr>
        <w:t>其他</w:t>
      </w:r>
    </w:p>
    <w:p w14:paraId="4DE2D65A">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1.保密：本合同的各项条款属于双方经营活动内容, 任何一方未经对方当事人书面允许不得对外泄露。</w:t>
      </w:r>
    </w:p>
    <w:p w14:paraId="36EDB822">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2.本合同自双方签字并盖章之日起生效。本合同一式</w:t>
      </w:r>
      <w:r>
        <w:rPr>
          <w:rFonts w:hint="eastAsia" w:ascii="宋体" w:hAnsi="宋体"/>
          <w:sz w:val="24"/>
          <w:szCs w:val="24"/>
          <w:highlight w:val="none"/>
          <w:lang w:val="en-US" w:eastAsia="zh-CN"/>
        </w:rPr>
        <w:t>叁</w:t>
      </w:r>
      <w:r>
        <w:rPr>
          <w:rFonts w:hint="eastAsia" w:ascii="宋体" w:hAnsi="宋体"/>
          <w:sz w:val="24"/>
          <w:szCs w:val="24"/>
          <w:highlight w:val="none"/>
        </w:rPr>
        <w:t>份，</w:t>
      </w:r>
      <w:r>
        <w:rPr>
          <w:rFonts w:hint="eastAsia" w:ascii="宋体" w:hAnsi="宋体" w:cs="宋体"/>
          <w:sz w:val="24"/>
          <w:szCs w:val="24"/>
          <w:highlight w:val="none"/>
        </w:rPr>
        <w:t>甲</w:t>
      </w:r>
      <w:r>
        <w:rPr>
          <w:rFonts w:hint="eastAsia" w:ascii="宋体" w:hAnsi="宋体" w:cs="宋体"/>
          <w:sz w:val="24"/>
          <w:szCs w:val="24"/>
          <w:highlight w:val="none"/>
          <w:lang w:val="en-US" w:eastAsia="zh-CN"/>
        </w:rPr>
        <w:t>方执两份</w:t>
      </w:r>
      <w:r>
        <w:rPr>
          <w:rFonts w:hint="eastAsia" w:ascii="宋体" w:hAnsi="宋体" w:cs="宋体"/>
          <w:sz w:val="24"/>
          <w:szCs w:val="24"/>
          <w:highlight w:val="none"/>
        </w:rPr>
        <w:t>、乙方执一份</w:t>
      </w:r>
      <w:r>
        <w:rPr>
          <w:rFonts w:hint="eastAsia" w:ascii="宋体" w:hAnsi="宋体"/>
          <w:sz w:val="24"/>
          <w:szCs w:val="24"/>
          <w:highlight w:val="none"/>
        </w:rPr>
        <w:t>，具同等法律效力。</w:t>
      </w:r>
    </w:p>
    <w:p w14:paraId="665D68CC">
      <w:pPr>
        <w:autoSpaceDE w:val="0"/>
        <w:autoSpaceDN w:val="0"/>
        <w:adjustRightInd w:val="0"/>
        <w:spacing w:line="380" w:lineRule="exact"/>
        <w:ind w:firstLine="480" w:firstLineChars="200"/>
        <w:jc w:val="left"/>
        <w:rPr>
          <w:rFonts w:ascii="仿宋_GB2312" w:eastAsia="仿宋_GB2312"/>
          <w:kern w:val="0"/>
          <w:sz w:val="24"/>
          <w:szCs w:val="24"/>
          <w:highlight w:val="none"/>
        </w:rPr>
      </w:pPr>
      <w:r>
        <w:rPr>
          <w:rFonts w:hint="eastAsia" w:ascii="仿宋_GB2312" w:eastAsia="仿宋_GB2312"/>
          <w:kern w:val="0"/>
          <w:sz w:val="24"/>
          <w:szCs w:val="24"/>
          <w:highlight w:val="none"/>
        </w:rPr>
        <w:t>【本协议正文结束</w:t>
      </w:r>
      <w:r>
        <w:rPr>
          <w:rFonts w:hint="eastAsia" w:ascii="仿宋_GB2312" w:eastAsia="仿宋_GB2312"/>
          <w:kern w:val="0"/>
          <w:sz w:val="24"/>
          <w:szCs w:val="24"/>
          <w:highlight w:val="none"/>
          <w:lang w:eastAsia="zh-CN"/>
        </w:rPr>
        <w:t>，</w:t>
      </w:r>
      <w:r>
        <w:rPr>
          <w:rFonts w:hint="eastAsia" w:ascii="仿宋_GB2312" w:eastAsia="仿宋_GB2312"/>
          <w:kern w:val="0"/>
          <w:sz w:val="24"/>
          <w:szCs w:val="24"/>
          <w:highlight w:val="none"/>
          <w:lang w:val="en-US" w:eastAsia="zh-CN"/>
        </w:rPr>
        <w:t>以下仅双方签字页</w:t>
      </w:r>
      <w:r>
        <w:rPr>
          <w:rFonts w:hint="eastAsia" w:ascii="仿宋_GB2312" w:eastAsia="仿宋_GB2312"/>
          <w:kern w:val="0"/>
          <w:sz w:val="24"/>
          <w:szCs w:val="24"/>
          <w:highlight w:val="none"/>
        </w:rPr>
        <w:t>】</w:t>
      </w:r>
    </w:p>
    <w:p w14:paraId="2BEC2A60">
      <w:pPr>
        <w:adjustRightInd w:val="0"/>
        <w:snapToGrid w:val="0"/>
        <w:spacing w:line="360" w:lineRule="auto"/>
        <w:ind w:firstLine="480" w:firstLineChars="200"/>
        <w:rPr>
          <w:rFonts w:hint="eastAsia" w:ascii="宋体" w:hAnsi="宋体"/>
          <w:sz w:val="24"/>
          <w:szCs w:val="24"/>
          <w:highlight w:val="none"/>
        </w:rPr>
      </w:pPr>
    </w:p>
    <w:p w14:paraId="6FBE10B6">
      <w:pPr>
        <w:spacing w:line="480" w:lineRule="auto"/>
        <w:rPr>
          <w:rFonts w:hint="eastAsia" w:ascii="宋体" w:hAnsi="宋体"/>
          <w:sz w:val="24"/>
          <w:szCs w:val="24"/>
          <w:highlight w:val="none"/>
        </w:rPr>
      </w:pPr>
      <w:r>
        <w:rPr>
          <w:rFonts w:hint="eastAsia" w:ascii="宋体" w:hAnsi="宋体"/>
          <w:sz w:val="24"/>
          <w:szCs w:val="24"/>
          <w:highlight w:val="none"/>
        </w:rPr>
        <w:t xml:space="preserve">    </w:t>
      </w:r>
    </w:p>
    <w:p w14:paraId="693C7D58">
      <w:pPr>
        <w:spacing w:line="480" w:lineRule="auto"/>
        <w:ind w:firstLine="480" w:firstLineChars="200"/>
        <w:rPr>
          <w:rFonts w:hint="eastAsia" w:ascii="宋体" w:hAnsi="宋体"/>
          <w:sz w:val="24"/>
          <w:szCs w:val="24"/>
          <w:highlight w:val="none"/>
        </w:rPr>
      </w:pPr>
      <w:r>
        <w:rPr>
          <w:rFonts w:hint="eastAsia" w:ascii="宋体" w:hAnsi="宋体"/>
          <w:sz w:val="24"/>
          <w:szCs w:val="24"/>
          <w:highlight w:val="none"/>
        </w:rPr>
        <w:t>甲方：(公章)                            乙方：(公章)</w:t>
      </w:r>
    </w:p>
    <w:p w14:paraId="58D9B588">
      <w:pPr>
        <w:spacing w:line="480" w:lineRule="auto"/>
        <w:ind w:firstLine="480" w:firstLineChars="200"/>
        <w:rPr>
          <w:rFonts w:hint="eastAsia" w:ascii="宋体" w:hAnsi="宋体"/>
          <w:sz w:val="24"/>
          <w:szCs w:val="24"/>
          <w:highlight w:val="none"/>
        </w:rPr>
      </w:pPr>
    </w:p>
    <w:p w14:paraId="2251F683">
      <w:pPr>
        <w:spacing w:line="480" w:lineRule="auto"/>
        <w:ind w:firstLine="480" w:firstLineChars="200"/>
        <w:rPr>
          <w:rFonts w:hint="eastAsia" w:ascii="宋体" w:hAnsi="宋体"/>
          <w:sz w:val="24"/>
          <w:szCs w:val="24"/>
          <w:highlight w:val="none"/>
        </w:rPr>
      </w:pPr>
      <w:r>
        <w:rPr>
          <w:rFonts w:hint="eastAsia" w:ascii="宋体" w:hAnsi="宋体"/>
          <w:sz w:val="24"/>
          <w:szCs w:val="24"/>
          <w:highlight w:val="none"/>
        </w:rPr>
        <w:t>法定代表人或授权代理人：                法定代表人或授权代理人：</w:t>
      </w:r>
    </w:p>
    <w:p w14:paraId="30CD600B">
      <w:pPr>
        <w:spacing w:line="480" w:lineRule="auto"/>
        <w:ind w:firstLine="480" w:firstLineChars="200"/>
        <w:rPr>
          <w:rFonts w:hint="eastAsia" w:ascii="宋体" w:hAnsi="宋体"/>
          <w:sz w:val="24"/>
          <w:szCs w:val="24"/>
          <w:highlight w:val="none"/>
        </w:rPr>
      </w:pPr>
    </w:p>
    <w:p w14:paraId="75CB4A11">
      <w:pPr>
        <w:spacing w:line="48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经办人：                                经办人： </w:t>
      </w:r>
    </w:p>
    <w:p w14:paraId="7468317F">
      <w:pPr>
        <w:spacing w:line="480" w:lineRule="auto"/>
        <w:ind w:firstLine="480" w:firstLineChars="200"/>
        <w:rPr>
          <w:rFonts w:hint="eastAsia" w:ascii="宋体" w:hAnsi="宋体"/>
          <w:sz w:val="24"/>
          <w:szCs w:val="24"/>
          <w:highlight w:val="none"/>
        </w:rPr>
      </w:pPr>
    </w:p>
    <w:p w14:paraId="0C7C0489">
      <w:pPr>
        <w:spacing w:line="480" w:lineRule="auto"/>
        <w:ind w:firstLine="480" w:firstLineChars="200"/>
        <w:rPr>
          <w:rFonts w:hint="eastAsia" w:ascii="宋体" w:hAnsi="宋体"/>
          <w:sz w:val="24"/>
          <w:szCs w:val="24"/>
          <w:highlight w:val="none"/>
        </w:rPr>
      </w:pPr>
      <w:r>
        <w:rPr>
          <w:rFonts w:hint="eastAsia" w:ascii="宋体" w:hAnsi="宋体"/>
          <w:sz w:val="24"/>
          <w:szCs w:val="24"/>
          <w:highlight w:val="none"/>
        </w:rPr>
        <w:t>时间：     年     月     日             时间：    年     月     日</w:t>
      </w:r>
    </w:p>
    <w:p w14:paraId="0C3BFC6B">
      <w:pPr>
        <w:rPr>
          <w:rFonts w:hint="eastAsia" w:asciiTheme="minorEastAsia" w:hAnsiTheme="minorEastAsia" w:eastAsiaTheme="minorEastAsia" w:cstheme="minorEastAsia"/>
          <w:color w:val="auto"/>
          <w:highlight w:val="none"/>
          <w:lang w:val="en-US" w:eastAsia="zh-CN"/>
        </w:rPr>
      </w:pPr>
    </w:p>
    <w:p w14:paraId="7627F3B4">
      <w:pPr>
        <w:rPr>
          <w:rFonts w:ascii="宋体" w:hAnsi="宋体"/>
          <w:color w:val="auto"/>
          <w:szCs w:val="20"/>
          <w:highlight w:val="none"/>
        </w:rPr>
      </w:pPr>
    </w:p>
    <w:p w14:paraId="5C97C478">
      <w:pPr>
        <w:pStyle w:val="2"/>
        <w:rPr>
          <w:rFonts w:ascii="宋体" w:hAnsi="宋体"/>
          <w:color w:val="auto"/>
          <w:szCs w:val="20"/>
          <w:highlight w:val="none"/>
        </w:rPr>
      </w:pPr>
    </w:p>
    <w:p w14:paraId="5D2FDD60">
      <w:pPr>
        <w:rPr>
          <w:rFonts w:ascii="宋体" w:hAnsi="宋体"/>
          <w:color w:val="auto"/>
          <w:szCs w:val="20"/>
          <w:highlight w:val="none"/>
        </w:rPr>
      </w:pPr>
    </w:p>
    <w:p w14:paraId="6AD261F0">
      <w:pPr>
        <w:pStyle w:val="47"/>
        <w:rPr>
          <w:rFonts w:ascii="宋体" w:hAnsi="宋体"/>
          <w:color w:val="auto"/>
          <w:szCs w:val="20"/>
          <w:highlight w:val="none"/>
        </w:rPr>
      </w:pPr>
    </w:p>
    <w:p w14:paraId="782BD3C7">
      <w:pPr>
        <w:rPr>
          <w:rFonts w:ascii="宋体" w:hAnsi="宋体"/>
          <w:color w:val="auto"/>
          <w:szCs w:val="20"/>
          <w:highlight w:val="none"/>
        </w:rPr>
      </w:pPr>
    </w:p>
    <w:p w14:paraId="313BFF4A">
      <w:pPr>
        <w:pStyle w:val="47"/>
        <w:rPr>
          <w:rFonts w:ascii="宋体" w:hAnsi="宋体"/>
          <w:color w:val="auto"/>
          <w:szCs w:val="20"/>
          <w:highlight w:val="none"/>
        </w:rPr>
      </w:pPr>
    </w:p>
    <w:p w14:paraId="223D4502">
      <w:pPr>
        <w:rPr>
          <w:rFonts w:ascii="宋体" w:hAnsi="宋体"/>
          <w:color w:val="auto"/>
          <w:szCs w:val="20"/>
          <w:highlight w:val="none"/>
        </w:rPr>
      </w:pPr>
    </w:p>
    <w:p w14:paraId="4F37EED8">
      <w:pPr>
        <w:pStyle w:val="47"/>
        <w:rPr>
          <w:rFonts w:ascii="宋体" w:hAnsi="宋体"/>
          <w:color w:val="auto"/>
          <w:szCs w:val="20"/>
          <w:highlight w:val="none"/>
        </w:rPr>
      </w:pPr>
    </w:p>
    <w:p w14:paraId="3D878A8E">
      <w:pPr>
        <w:rPr>
          <w:rFonts w:ascii="宋体" w:hAnsi="宋体"/>
          <w:color w:val="auto"/>
          <w:szCs w:val="20"/>
          <w:highlight w:val="none"/>
        </w:rPr>
      </w:pPr>
    </w:p>
    <w:p w14:paraId="40FC3087">
      <w:pPr>
        <w:pStyle w:val="47"/>
        <w:rPr>
          <w:rFonts w:ascii="宋体" w:hAnsi="宋体"/>
          <w:color w:val="auto"/>
          <w:szCs w:val="20"/>
          <w:highlight w:val="none"/>
        </w:rPr>
      </w:pPr>
    </w:p>
    <w:p w14:paraId="041EF252">
      <w:pPr>
        <w:rPr>
          <w:rFonts w:ascii="宋体" w:hAnsi="宋体"/>
          <w:color w:val="auto"/>
          <w:szCs w:val="20"/>
          <w:highlight w:val="none"/>
        </w:rPr>
      </w:pPr>
    </w:p>
    <w:p w14:paraId="5FB4DE38">
      <w:pPr>
        <w:pStyle w:val="47"/>
        <w:rPr>
          <w:rFonts w:ascii="宋体" w:hAnsi="宋体"/>
          <w:color w:val="auto"/>
          <w:szCs w:val="20"/>
          <w:highlight w:val="none"/>
        </w:rPr>
      </w:pPr>
    </w:p>
    <w:p w14:paraId="5CED8592">
      <w:pPr>
        <w:rPr>
          <w:rFonts w:ascii="宋体" w:hAnsi="宋体"/>
          <w:color w:val="auto"/>
          <w:szCs w:val="20"/>
          <w:highlight w:val="none"/>
        </w:rPr>
      </w:pPr>
    </w:p>
    <w:p w14:paraId="0086885B">
      <w:pPr>
        <w:pStyle w:val="47"/>
        <w:rPr>
          <w:rFonts w:ascii="宋体" w:hAnsi="宋体"/>
          <w:color w:val="auto"/>
          <w:szCs w:val="20"/>
          <w:highlight w:val="none"/>
        </w:rPr>
      </w:pPr>
    </w:p>
    <w:p w14:paraId="529A6601">
      <w:pPr>
        <w:rPr>
          <w:rFonts w:ascii="宋体" w:hAnsi="宋体"/>
          <w:color w:val="auto"/>
          <w:szCs w:val="20"/>
          <w:highlight w:val="none"/>
        </w:rPr>
      </w:pPr>
    </w:p>
    <w:p w14:paraId="7F8952D6">
      <w:pPr>
        <w:pStyle w:val="47"/>
        <w:rPr>
          <w:rFonts w:ascii="宋体" w:hAnsi="宋体"/>
          <w:color w:val="auto"/>
          <w:szCs w:val="20"/>
          <w:highlight w:val="none"/>
        </w:rPr>
      </w:pPr>
    </w:p>
    <w:p w14:paraId="4EF6F14F"/>
    <w:p w14:paraId="36FBD0E1">
      <w:pPr>
        <w:rPr>
          <w:rFonts w:ascii="宋体" w:hAnsi="宋体"/>
          <w:color w:val="auto"/>
          <w:szCs w:val="20"/>
          <w:highlight w:val="none"/>
        </w:rPr>
      </w:pPr>
    </w:p>
    <w:p w14:paraId="2E6D63DA">
      <w:pPr>
        <w:pStyle w:val="2"/>
        <w:rPr>
          <w:rFonts w:ascii="宋体" w:hAnsi="宋体"/>
          <w:color w:val="auto"/>
          <w:szCs w:val="20"/>
          <w:highlight w:val="none"/>
        </w:rPr>
      </w:pPr>
    </w:p>
    <w:p w14:paraId="1822B988">
      <w:pPr>
        <w:rPr>
          <w:rFonts w:ascii="宋体" w:hAnsi="宋体"/>
          <w:color w:val="auto"/>
          <w:szCs w:val="20"/>
          <w:highlight w:val="none"/>
        </w:rPr>
      </w:pPr>
    </w:p>
    <w:p w14:paraId="33EAF00F">
      <w:pPr>
        <w:pStyle w:val="2"/>
        <w:rPr>
          <w:rFonts w:ascii="宋体" w:hAnsi="宋体"/>
          <w:color w:val="auto"/>
          <w:szCs w:val="20"/>
          <w:highlight w:val="none"/>
        </w:rPr>
      </w:pPr>
    </w:p>
    <w:p w14:paraId="0DD64FEA">
      <w:pPr>
        <w:rPr>
          <w:rFonts w:ascii="宋体" w:hAnsi="宋体"/>
          <w:color w:val="auto"/>
          <w:szCs w:val="20"/>
          <w:highlight w:val="none"/>
        </w:rPr>
      </w:pPr>
    </w:p>
    <w:p w14:paraId="131247BB">
      <w:pPr>
        <w:pStyle w:val="2"/>
        <w:rPr>
          <w:rFonts w:ascii="宋体" w:hAnsi="宋体"/>
          <w:color w:val="auto"/>
          <w:szCs w:val="20"/>
          <w:highlight w:val="none"/>
        </w:rPr>
      </w:pPr>
    </w:p>
    <w:bookmarkEnd w:id="465"/>
    <w:bookmarkEnd w:id="466"/>
    <w:p w14:paraId="20F34B6A">
      <w:pPr>
        <w:pStyle w:val="4"/>
        <w:spacing w:before="0" w:after="0" w:line="360" w:lineRule="auto"/>
        <w:jc w:val="center"/>
        <w:rPr>
          <w:rFonts w:ascii="宋体" w:hAnsi="宋体"/>
          <w:color w:val="auto"/>
          <w:sz w:val="52"/>
          <w:szCs w:val="52"/>
          <w:highlight w:val="none"/>
        </w:rPr>
      </w:pPr>
      <w:bookmarkStart w:id="470" w:name="_Toc6205"/>
      <w:bookmarkStart w:id="471" w:name="_Toc8804"/>
      <w:bookmarkStart w:id="472" w:name="_Toc13896"/>
      <w:r>
        <w:rPr>
          <w:rFonts w:hint="eastAsia" w:ascii="宋体" w:hAnsi="宋体"/>
          <w:color w:val="auto"/>
          <w:sz w:val="52"/>
          <w:szCs w:val="52"/>
          <w:highlight w:val="none"/>
        </w:rPr>
        <w:t>第 三 卷</w:t>
      </w:r>
      <w:bookmarkEnd w:id="470"/>
      <w:bookmarkEnd w:id="471"/>
      <w:bookmarkEnd w:id="472"/>
      <w:bookmarkStart w:id="473" w:name="_Toc509218847"/>
      <w:bookmarkStart w:id="474" w:name="_Toc536797390"/>
      <w:bookmarkStart w:id="475" w:name="_Toc536620100"/>
      <w:bookmarkStart w:id="476" w:name="_Toc536796850"/>
      <w:bookmarkStart w:id="477" w:name="_Toc536796986"/>
      <w:bookmarkStart w:id="478" w:name="_Toc13211764"/>
      <w:bookmarkStart w:id="479" w:name="_Toc536797255"/>
      <w:bookmarkStart w:id="480" w:name="_Toc534185826"/>
      <w:bookmarkStart w:id="481" w:name="_Toc13211206"/>
      <w:bookmarkStart w:id="482" w:name="_Toc536628344"/>
      <w:bookmarkStart w:id="483" w:name="_Toc13210772"/>
      <w:bookmarkStart w:id="484" w:name="_Toc536619968"/>
      <w:bookmarkStart w:id="485" w:name="_Toc536797121"/>
      <w:bookmarkStart w:id="486" w:name="_Toc536621880"/>
    </w:p>
    <w:bookmarkEnd w:id="473"/>
    <w:p w14:paraId="757C8F2A">
      <w:pPr>
        <w:rPr>
          <w:color w:val="auto"/>
          <w:highlight w:val="none"/>
        </w:rPr>
      </w:pPr>
      <w:r>
        <w:rPr>
          <w:color w:val="auto"/>
          <w:highlight w:val="none"/>
        </w:rPr>
        <w:br w:type="page"/>
      </w:r>
      <w:bookmarkEnd w:id="474"/>
      <w:bookmarkEnd w:id="475"/>
      <w:bookmarkEnd w:id="476"/>
      <w:bookmarkEnd w:id="477"/>
      <w:bookmarkEnd w:id="478"/>
      <w:bookmarkEnd w:id="479"/>
      <w:bookmarkEnd w:id="480"/>
      <w:bookmarkEnd w:id="481"/>
      <w:bookmarkEnd w:id="482"/>
      <w:bookmarkEnd w:id="483"/>
      <w:bookmarkEnd w:id="484"/>
      <w:bookmarkEnd w:id="485"/>
      <w:bookmarkEnd w:id="486"/>
    </w:p>
    <w:p w14:paraId="573D581B">
      <w:pPr>
        <w:pStyle w:val="4"/>
        <w:spacing w:line="360" w:lineRule="auto"/>
        <w:jc w:val="center"/>
        <w:rPr>
          <w:rFonts w:ascii="宋体" w:hAnsi="宋体"/>
          <w:color w:val="auto"/>
          <w:highlight w:val="none"/>
        </w:rPr>
      </w:pPr>
      <w:bookmarkStart w:id="487" w:name="招标文件07章技术标准和要求"/>
      <w:bookmarkEnd w:id="487"/>
      <w:bookmarkStart w:id="488" w:name="_Toc17170"/>
      <w:bookmarkStart w:id="489" w:name="_Toc16451"/>
      <w:r>
        <w:rPr>
          <w:rFonts w:ascii="宋体" w:hAnsi="宋体"/>
          <w:color w:val="auto"/>
          <w:highlight w:val="none"/>
        </w:rPr>
        <w:t>第</w:t>
      </w:r>
      <w:r>
        <w:rPr>
          <w:rFonts w:hint="eastAsia" w:ascii="宋体" w:hAnsi="宋体"/>
          <w:color w:val="auto"/>
          <w:highlight w:val="none"/>
          <w:lang w:val="en-US" w:eastAsia="zh-CN"/>
        </w:rPr>
        <w:t>五</w:t>
      </w:r>
      <w:r>
        <w:rPr>
          <w:rFonts w:ascii="宋体" w:hAnsi="宋体"/>
          <w:color w:val="auto"/>
          <w:highlight w:val="none"/>
        </w:rPr>
        <w:t>章</w:t>
      </w:r>
      <w:r>
        <w:rPr>
          <w:rFonts w:hint="eastAsia" w:ascii="宋体" w:hAnsi="宋体"/>
          <w:color w:val="auto"/>
          <w:highlight w:val="none"/>
        </w:rPr>
        <w:t xml:space="preserve">  </w:t>
      </w:r>
      <w:r>
        <w:rPr>
          <w:rFonts w:ascii="宋体" w:hAnsi="宋体"/>
          <w:color w:val="auto"/>
          <w:highlight w:val="none"/>
        </w:rPr>
        <w:t>技术标准和要求</w:t>
      </w:r>
      <w:bookmarkEnd w:id="488"/>
      <w:bookmarkEnd w:id="489"/>
      <w:bookmarkStart w:id="490" w:name="招标文件07章技术标准和要求01"/>
      <w:bookmarkEnd w:id="490"/>
      <w:bookmarkStart w:id="491" w:name="_Toc287620808"/>
      <w:bookmarkStart w:id="492" w:name="_Toc430530524"/>
    </w:p>
    <w:bookmarkEnd w:id="491"/>
    <w:bookmarkEnd w:id="492"/>
    <w:p w14:paraId="44E781B8">
      <w:pPr>
        <w:pStyle w:val="25"/>
        <w:jc w:val="both"/>
        <w:rPr>
          <w:rFonts w:hint="eastAsia" w:ascii="Times New Roman" w:hAnsi="Times New Roman" w:eastAsia="仿宋" w:cs="Times New Roman"/>
          <w:b/>
          <w:color w:val="auto"/>
          <w:sz w:val="28"/>
          <w:szCs w:val="28"/>
          <w:highlight w:val="none"/>
          <w:lang w:val="en-US" w:eastAsia="zh-CN"/>
        </w:rPr>
      </w:pPr>
      <w:r>
        <w:rPr>
          <w:rFonts w:hint="eastAsia" w:ascii="Times New Roman" w:hAnsi="Times New Roman" w:eastAsia="仿宋" w:cs="Times New Roman"/>
          <w:b/>
          <w:color w:val="auto"/>
          <w:sz w:val="28"/>
          <w:szCs w:val="28"/>
          <w:highlight w:val="none"/>
          <w:lang w:val="en-US" w:eastAsia="zh-CN"/>
        </w:rPr>
        <w:t>一、</w:t>
      </w:r>
      <w:r>
        <w:rPr>
          <w:rFonts w:hint="default" w:ascii="Times New Roman" w:hAnsi="Times New Roman" w:eastAsia="仿宋" w:cs="Times New Roman"/>
          <w:b/>
          <w:color w:val="auto"/>
          <w:sz w:val="28"/>
          <w:szCs w:val="28"/>
          <w:highlight w:val="none"/>
        </w:rPr>
        <w:t>各岗位</w:t>
      </w:r>
      <w:r>
        <w:rPr>
          <w:rFonts w:hint="default" w:ascii="Times New Roman" w:hAnsi="Times New Roman" w:eastAsia="仿宋" w:cs="Times New Roman"/>
          <w:b/>
          <w:color w:val="auto"/>
          <w:sz w:val="28"/>
          <w:szCs w:val="28"/>
          <w:highlight w:val="none"/>
          <w:lang w:val="en-US" w:eastAsia="zh-CN"/>
        </w:rPr>
        <w:t>人员要求及</w:t>
      </w:r>
      <w:r>
        <w:rPr>
          <w:rFonts w:hint="default" w:ascii="Times New Roman" w:hAnsi="Times New Roman" w:eastAsia="仿宋" w:cs="Times New Roman"/>
          <w:b/>
          <w:color w:val="auto"/>
          <w:sz w:val="28"/>
          <w:szCs w:val="28"/>
          <w:highlight w:val="none"/>
        </w:rPr>
        <w:t>工作标准</w:t>
      </w:r>
      <w:r>
        <w:rPr>
          <w:rFonts w:hint="eastAsia" w:ascii="Times New Roman" w:hAnsi="Times New Roman" w:eastAsia="仿宋" w:cs="Times New Roman"/>
          <w:b/>
          <w:color w:val="auto"/>
          <w:sz w:val="28"/>
          <w:szCs w:val="28"/>
          <w:highlight w:val="none"/>
          <w:lang w:val="en-US" w:eastAsia="zh-CN"/>
        </w:rPr>
        <w:t>如下表：</w:t>
      </w:r>
    </w:p>
    <w:tbl>
      <w:tblPr>
        <w:tblStyle w:val="4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845"/>
        <w:gridCol w:w="5201"/>
      </w:tblGrid>
      <w:tr w14:paraId="5374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08" w:type="pct"/>
            <w:vAlign w:val="center"/>
          </w:tcPr>
          <w:p w14:paraId="40EB81AF">
            <w:pPr>
              <w:spacing w:line="400" w:lineRule="exact"/>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岗位</w:t>
            </w:r>
          </w:p>
        </w:tc>
        <w:tc>
          <w:tcPr>
            <w:tcW w:w="1995" w:type="pct"/>
            <w:vAlign w:val="center"/>
          </w:tcPr>
          <w:p w14:paraId="1EDF9A8C">
            <w:pPr>
              <w:spacing w:line="400" w:lineRule="exact"/>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人员要求</w:t>
            </w:r>
          </w:p>
        </w:tc>
        <w:tc>
          <w:tcPr>
            <w:tcW w:w="2695" w:type="pct"/>
            <w:vAlign w:val="center"/>
          </w:tcPr>
          <w:p w14:paraId="367D2798">
            <w:pPr>
              <w:spacing w:line="400" w:lineRule="exact"/>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工作标准</w:t>
            </w:r>
          </w:p>
        </w:tc>
      </w:tr>
      <w:tr w14:paraId="56C8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08" w:type="pct"/>
            <w:vMerge w:val="restart"/>
            <w:vAlign w:val="center"/>
          </w:tcPr>
          <w:p w14:paraId="374E8BE9">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保安</w:t>
            </w:r>
            <w:r>
              <w:rPr>
                <w:rFonts w:hint="default" w:ascii="Times New Roman" w:hAnsi="Times New Roman" w:eastAsia="仿宋" w:cs="Times New Roman"/>
                <w:bCs/>
                <w:color w:val="auto"/>
                <w:sz w:val="21"/>
                <w:szCs w:val="21"/>
                <w:highlight w:val="none"/>
              </w:rPr>
              <w:t>岗</w:t>
            </w:r>
          </w:p>
        </w:tc>
        <w:tc>
          <w:tcPr>
            <w:tcW w:w="1995" w:type="pct"/>
            <w:vAlign w:val="center"/>
          </w:tcPr>
          <w:p w14:paraId="79F6DDDF">
            <w:pPr>
              <w:spacing w:line="400" w:lineRule="exact"/>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年龄要求：18-45岁，身体健康，能适应轮班制工作。</w:t>
            </w:r>
          </w:p>
        </w:tc>
        <w:tc>
          <w:tcPr>
            <w:tcW w:w="2695" w:type="pct"/>
            <w:vAlign w:val="center"/>
          </w:tcPr>
          <w:p w14:paraId="352C139E">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1、24小时执勤，对</w:t>
            </w:r>
            <w:r>
              <w:rPr>
                <w:rFonts w:hint="default" w:ascii="Times New Roman" w:hAnsi="Times New Roman" w:eastAsia="仿宋" w:cs="Times New Roman"/>
                <w:bCs/>
                <w:color w:val="auto"/>
                <w:sz w:val="21"/>
                <w:szCs w:val="21"/>
                <w:highlight w:val="none"/>
                <w:lang w:val="en-US" w:eastAsia="zh-CN"/>
              </w:rPr>
              <w:t>迎龙小院</w:t>
            </w:r>
            <w:r>
              <w:rPr>
                <w:rFonts w:hint="default" w:ascii="Times New Roman" w:hAnsi="Times New Roman" w:eastAsia="仿宋" w:cs="Times New Roman"/>
                <w:bCs/>
                <w:color w:val="auto"/>
                <w:sz w:val="21"/>
                <w:szCs w:val="21"/>
                <w:highlight w:val="none"/>
              </w:rPr>
              <w:t>区域内进行安全巡查，并做好巡查记录。</w:t>
            </w:r>
          </w:p>
        </w:tc>
      </w:tr>
      <w:tr w14:paraId="2A01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08" w:type="pct"/>
            <w:vMerge w:val="continue"/>
            <w:vAlign w:val="center"/>
          </w:tcPr>
          <w:p w14:paraId="3062F5BD">
            <w:pPr>
              <w:spacing w:line="400" w:lineRule="exact"/>
              <w:rPr>
                <w:rFonts w:hint="default" w:ascii="Times New Roman" w:hAnsi="Times New Roman" w:eastAsia="仿宋" w:cs="Times New Roman"/>
                <w:bCs/>
                <w:color w:val="auto"/>
                <w:sz w:val="21"/>
                <w:szCs w:val="21"/>
                <w:highlight w:val="none"/>
              </w:rPr>
            </w:pPr>
          </w:p>
        </w:tc>
        <w:tc>
          <w:tcPr>
            <w:tcW w:w="1995" w:type="pct"/>
            <w:vAlign w:val="center"/>
          </w:tcPr>
          <w:p w14:paraId="4AB6D334">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身体素质：无重大疾病，能胜任长时间站立、巡逻等工作。</w:t>
            </w:r>
          </w:p>
        </w:tc>
        <w:tc>
          <w:tcPr>
            <w:tcW w:w="2695" w:type="pct"/>
            <w:vAlign w:val="center"/>
          </w:tcPr>
          <w:p w14:paraId="3A05CB87">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2、检查发现</w:t>
            </w:r>
            <w:r>
              <w:rPr>
                <w:rFonts w:hint="default" w:ascii="Times New Roman" w:hAnsi="Times New Roman" w:eastAsia="仿宋" w:cs="Times New Roman"/>
                <w:bCs/>
                <w:color w:val="auto"/>
                <w:sz w:val="21"/>
                <w:szCs w:val="21"/>
                <w:highlight w:val="none"/>
                <w:lang w:val="en-US" w:eastAsia="zh-CN"/>
              </w:rPr>
              <w:t>项目</w:t>
            </w:r>
            <w:r>
              <w:rPr>
                <w:rFonts w:hint="default" w:ascii="Times New Roman" w:hAnsi="Times New Roman" w:eastAsia="仿宋" w:cs="Times New Roman"/>
                <w:bCs/>
                <w:color w:val="auto"/>
                <w:sz w:val="21"/>
                <w:szCs w:val="21"/>
                <w:highlight w:val="none"/>
              </w:rPr>
              <w:t>一切不安全因素，包括防火、防盗及其他安全隐患，发现问题马上报告。</w:t>
            </w:r>
          </w:p>
        </w:tc>
      </w:tr>
      <w:tr w14:paraId="7DF1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08" w:type="pct"/>
            <w:vMerge w:val="continue"/>
            <w:vAlign w:val="center"/>
          </w:tcPr>
          <w:p w14:paraId="66A80A89">
            <w:pPr>
              <w:spacing w:line="400" w:lineRule="exact"/>
              <w:rPr>
                <w:rFonts w:hint="default" w:ascii="Times New Roman" w:hAnsi="Times New Roman" w:eastAsia="仿宋" w:cs="Times New Roman"/>
                <w:bCs/>
                <w:color w:val="auto"/>
                <w:sz w:val="21"/>
                <w:szCs w:val="21"/>
                <w:highlight w:val="none"/>
              </w:rPr>
            </w:pPr>
          </w:p>
        </w:tc>
        <w:tc>
          <w:tcPr>
            <w:tcW w:w="1995" w:type="pct"/>
            <w:vAlign w:val="center"/>
          </w:tcPr>
          <w:p w14:paraId="55C0D0D9">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职业素养：责任心强，具备良好的安全意识和应急处理能力。</w:t>
            </w:r>
          </w:p>
        </w:tc>
        <w:tc>
          <w:tcPr>
            <w:tcW w:w="2695" w:type="pct"/>
            <w:vAlign w:val="center"/>
          </w:tcPr>
          <w:p w14:paraId="27D38A8F">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3、巡查消防设施是否在位、完好有效，有无遮挡、挪用，消防卷帘下方是否有摆放物品；消防通道有无被占用、堵塞或违规使用现象。</w:t>
            </w:r>
          </w:p>
        </w:tc>
      </w:tr>
      <w:tr w14:paraId="613B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08" w:type="pct"/>
            <w:vMerge w:val="continue"/>
            <w:vAlign w:val="center"/>
          </w:tcPr>
          <w:p w14:paraId="4D9DA456">
            <w:pPr>
              <w:spacing w:line="400" w:lineRule="exact"/>
              <w:rPr>
                <w:rFonts w:hint="default" w:ascii="Times New Roman" w:hAnsi="Times New Roman" w:eastAsia="仿宋" w:cs="Times New Roman"/>
                <w:bCs/>
                <w:color w:val="auto"/>
                <w:sz w:val="21"/>
                <w:szCs w:val="21"/>
                <w:highlight w:val="none"/>
              </w:rPr>
            </w:pPr>
          </w:p>
        </w:tc>
        <w:tc>
          <w:tcPr>
            <w:tcW w:w="1995" w:type="pct"/>
            <w:vAlign w:val="center"/>
          </w:tcPr>
          <w:p w14:paraId="55D1C0EC">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技能要求：熟悉基本的安全防范知识和消防设备操作。</w:t>
            </w:r>
          </w:p>
        </w:tc>
        <w:tc>
          <w:tcPr>
            <w:tcW w:w="2695" w:type="pct"/>
            <w:vAlign w:val="center"/>
          </w:tcPr>
          <w:p w14:paraId="5EB97271">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4、巡查公区照明、公区摆设等是否完好、摆放适当；各种标识有无损坏、丢失；巡视项目内外绿化植物有无明显的倾倒、倾斜等隐患现象，是否有垃圾杂物。</w:t>
            </w:r>
          </w:p>
        </w:tc>
      </w:tr>
      <w:tr w14:paraId="7CA8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08" w:type="pct"/>
            <w:vMerge w:val="continue"/>
            <w:vAlign w:val="center"/>
          </w:tcPr>
          <w:p w14:paraId="305D18FA">
            <w:pPr>
              <w:spacing w:line="400" w:lineRule="exact"/>
              <w:rPr>
                <w:rFonts w:hint="default" w:ascii="Times New Roman" w:hAnsi="Times New Roman" w:eastAsia="仿宋" w:cs="Times New Roman"/>
                <w:bCs/>
                <w:color w:val="auto"/>
                <w:sz w:val="21"/>
                <w:szCs w:val="21"/>
                <w:highlight w:val="none"/>
              </w:rPr>
            </w:pPr>
          </w:p>
        </w:tc>
        <w:tc>
          <w:tcPr>
            <w:tcW w:w="1995" w:type="pct"/>
            <w:vAlign w:val="center"/>
          </w:tcPr>
          <w:p w14:paraId="171BC810">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其他要求：无犯罪记录，退伍军人或有保安证者优先。</w:t>
            </w:r>
          </w:p>
        </w:tc>
        <w:tc>
          <w:tcPr>
            <w:tcW w:w="2695" w:type="pct"/>
            <w:vAlign w:val="center"/>
          </w:tcPr>
          <w:p w14:paraId="3451EA7C">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5、检查各配电房、电梯机房、泵房、油库设施、空调机房的门是否保持常闭，上锁。禁止无关人员员入内。</w:t>
            </w:r>
          </w:p>
        </w:tc>
      </w:tr>
      <w:tr w14:paraId="7CE7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08" w:type="pct"/>
            <w:vMerge w:val="continue"/>
            <w:vAlign w:val="center"/>
          </w:tcPr>
          <w:p w14:paraId="0579E688">
            <w:pPr>
              <w:spacing w:line="400" w:lineRule="exact"/>
              <w:rPr>
                <w:rFonts w:hint="default" w:ascii="Times New Roman" w:hAnsi="Times New Roman" w:eastAsia="仿宋" w:cs="Times New Roman"/>
                <w:bCs/>
                <w:color w:val="auto"/>
                <w:sz w:val="21"/>
                <w:szCs w:val="21"/>
                <w:highlight w:val="none"/>
              </w:rPr>
            </w:pPr>
          </w:p>
        </w:tc>
        <w:tc>
          <w:tcPr>
            <w:tcW w:w="1995" w:type="pct"/>
            <w:vAlign w:val="center"/>
          </w:tcPr>
          <w:p w14:paraId="32383A32">
            <w:pPr>
              <w:spacing w:line="400" w:lineRule="exact"/>
              <w:rPr>
                <w:rFonts w:hint="default" w:ascii="Times New Roman" w:hAnsi="Times New Roman" w:eastAsia="仿宋" w:cs="Times New Roman"/>
                <w:bCs/>
                <w:color w:val="auto"/>
                <w:sz w:val="21"/>
                <w:szCs w:val="21"/>
                <w:highlight w:val="none"/>
              </w:rPr>
            </w:pPr>
          </w:p>
        </w:tc>
        <w:tc>
          <w:tcPr>
            <w:tcW w:w="2695" w:type="pct"/>
            <w:vAlign w:val="center"/>
          </w:tcPr>
          <w:p w14:paraId="46AC9794">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6、巡逻应遵循“一摸、二闻、三看、四观察”的宗旨，如发现异常情况，立即上报。</w:t>
            </w:r>
          </w:p>
        </w:tc>
      </w:tr>
      <w:tr w14:paraId="094E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vMerge w:val="restart"/>
            <w:vAlign w:val="center"/>
          </w:tcPr>
          <w:p w14:paraId="30404312">
            <w:pPr>
              <w:spacing w:line="400" w:lineRule="exact"/>
              <w:jc w:val="both"/>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维修岗</w:t>
            </w:r>
          </w:p>
        </w:tc>
        <w:tc>
          <w:tcPr>
            <w:tcW w:w="1995" w:type="pct"/>
            <w:vAlign w:val="center"/>
          </w:tcPr>
          <w:p w14:paraId="2C72B027">
            <w:pPr>
              <w:spacing w:line="400" w:lineRule="exact"/>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中专或技校以上学历，机电、维修等相关专业优先。</w:t>
            </w:r>
          </w:p>
        </w:tc>
        <w:tc>
          <w:tcPr>
            <w:tcW w:w="2695" w:type="pct"/>
            <w:vAlign w:val="center"/>
          </w:tcPr>
          <w:p w14:paraId="63E517D7">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1、</w:t>
            </w:r>
            <w:r>
              <w:rPr>
                <w:rFonts w:hint="default" w:ascii="Times New Roman" w:hAnsi="Times New Roman" w:eastAsia="仿宋" w:cs="Times New Roman"/>
                <w:bCs/>
                <w:color w:val="auto"/>
                <w:sz w:val="21"/>
                <w:szCs w:val="21"/>
                <w:highlight w:val="none"/>
              </w:rPr>
              <w:t>负责</w:t>
            </w:r>
            <w:r>
              <w:rPr>
                <w:rFonts w:hint="default" w:ascii="Times New Roman" w:hAnsi="Times New Roman" w:eastAsia="仿宋" w:cs="Times New Roman"/>
                <w:bCs/>
                <w:color w:val="auto"/>
                <w:sz w:val="21"/>
                <w:szCs w:val="21"/>
                <w:highlight w:val="none"/>
                <w:lang w:val="en-US" w:eastAsia="zh-CN"/>
              </w:rPr>
              <w:t>迎龙小院</w:t>
            </w:r>
            <w:r>
              <w:rPr>
                <w:rFonts w:hint="default" w:ascii="Times New Roman" w:hAnsi="Times New Roman" w:eastAsia="仿宋" w:cs="Times New Roman"/>
                <w:bCs/>
                <w:color w:val="auto"/>
                <w:sz w:val="21"/>
                <w:szCs w:val="21"/>
                <w:highlight w:val="none"/>
              </w:rPr>
              <w:t>设备24小时正常运行；</w:t>
            </w:r>
          </w:p>
        </w:tc>
      </w:tr>
      <w:tr w14:paraId="7D53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vMerge w:val="continue"/>
            <w:vAlign w:val="center"/>
          </w:tcPr>
          <w:p w14:paraId="7635FC20">
            <w:pPr>
              <w:spacing w:line="400" w:lineRule="exact"/>
              <w:ind w:firstLine="210" w:firstLineChars="100"/>
              <w:rPr>
                <w:rFonts w:hint="default" w:ascii="Times New Roman" w:hAnsi="Times New Roman" w:eastAsia="仿宋" w:cs="Times New Roman"/>
                <w:bCs/>
                <w:color w:val="auto"/>
                <w:sz w:val="21"/>
                <w:szCs w:val="21"/>
                <w:highlight w:val="none"/>
              </w:rPr>
            </w:pPr>
          </w:p>
        </w:tc>
        <w:tc>
          <w:tcPr>
            <w:tcW w:w="1995" w:type="pct"/>
            <w:vAlign w:val="center"/>
          </w:tcPr>
          <w:p w14:paraId="139E1B65">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技能要求：熟悉水、电、暖通等设备的维修和维护，持有电工证或相关资格证书。</w:t>
            </w:r>
          </w:p>
        </w:tc>
        <w:tc>
          <w:tcPr>
            <w:tcW w:w="2695" w:type="pct"/>
            <w:vAlign w:val="center"/>
          </w:tcPr>
          <w:p w14:paraId="0C6F9625">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2、</w:t>
            </w:r>
            <w:r>
              <w:rPr>
                <w:rFonts w:hint="default" w:ascii="Times New Roman" w:hAnsi="Times New Roman" w:eastAsia="仿宋" w:cs="Times New Roman"/>
                <w:bCs/>
                <w:color w:val="auto"/>
                <w:sz w:val="21"/>
                <w:szCs w:val="21"/>
                <w:highlight w:val="none"/>
                <w:lang w:val="en-US" w:eastAsia="zh-CN"/>
              </w:rPr>
              <w:t>迎龙小院设备</w:t>
            </w:r>
            <w:r>
              <w:rPr>
                <w:rFonts w:hint="default" w:ascii="Times New Roman" w:hAnsi="Times New Roman" w:eastAsia="仿宋" w:cs="Times New Roman"/>
                <w:bCs/>
                <w:color w:val="auto"/>
                <w:sz w:val="21"/>
                <w:szCs w:val="21"/>
                <w:highlight w:val="none"/>
              </w:rPr>
              <w:t>日常小修、应急维修及时快速解决。</w:t>
            </w:r>
          </w:p>
        </w:tc>
      </w:tr>
      <w:tr w14:paraId="2E01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vMerge w:val="continue"/>
            <w:vAlign w:val="center"/>
          </w:tcPr>
          <w:p w14:paraId="3457A94A">
            <w:pPr>
              <w:spacing w:line="400" w:lineRule="exact"/>
              <w:ind w:firstLine="210" w:firstLineChars="100"/>
              <w:rPr>
                <w:rFonts w:hint="default" w:ascii="Times New Roman" w:hAnsi="Times New Roman" w:eastAsia="仿宋" w:cs="Times New Roman"/>
                <w:bCs/>
                <w:color w:val="auto"/>
                <w:sz w:val="21"/>
                <w:szCs w:val="21"/>
                <w:highlight w:val="none"/>
              </w:rPr>
            </w:pPr>
          </w:p>
        </w:tc>
        <w:tc>
          <w:tcPr>
            <w:tcW w:w="1995" w:type="pct"/>
            <w:vAlign w:val="center"/>
          </w:tcPr>
          <w:p w14:paraId="216A1A83">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职业素养：具备较强的动手能力和故障排查能力，工作认真负责。</w:t>
            </w:r>
          </w:p>
        </w:tc>
        <w:tc>
          <w:tcPr>
            <w:tcW w:w="2695" w:type="pct"/>
            <w:vAlign w:val="center"/>
          </w:tcPr>
          <w:p w14:paraId="4B32E2AB">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3、如遇处理不了的问题，及时上报，做好配合工作</w:t>
            </w:r>
          </w:p>
        </w:tc>
      </w:tr>
      <w:tr w14:paraId="1869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vMerge w:val="continue"/>
            <w:vAlign w:val="center"/>
          </w:tcPr>
          <w:p w14:paraId="465A17CC">
            <w:pPr>
              <w:spacing w:line="400" w:lineRule="exact"/>
              <w:ind w:firstLine="210" w:firstLineChars="100"/>
              <w:rPr>
                <w:rFonts w:hint="default" w:ascii="Times New Roman" w:hAnsi="Times New Roman" w:eastAsia="仿宋" w:cs="Times New Roman"/>
                <w:bCs/>
                <w:color w:val="auto"/>
                <w:sz w:val="21"/>
                <w:szCs w:val="21"/>
                <w:highlight w:val="none"/>
              </w:rPr>
            </w:pPr>
          </w:p>
        </w:tc>
        <w:tc>
          <w:tcPr>
            <w:tcW w:w="1995" w:type="pct"/>
            <w:vAlign w:val="center"/>
          </w:tcPr>
          <w:p w14:paraId="408EB0E1">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其他要求：有</w:t>
            </w:r>
            <w:r>
              <w:rPr>
                <w:rFonts w:hint="default" w:ascii="Times New Roman" w:hAnsi="Times New Roman" w:eastAsia="仿宋" w:cs="Times New Roman"/>
                <w:bCs/>
                <w:color w:val="auto"/>
                <w:sz w:val="21"/>
                <w:szCs w:val="21"/>
                <w:highlight w:val="none"/>
                <w:lang w:val="en-US" w:eastAsia="zh-CN"/>
              </w:rPr>
              <w:t>1-2</w:t>
            </w:r>
            <w:r>
              <w:rPr>
                <w:rFonts w:hint="default" w:ascii="Times New Roman" w:hAnsi="Times New Roman" w:eastAsia="仿宋" w:cs="Times New Roman"/>
                <w:bCs/>
                <w:color w:val="auto"/>
                <w:sz w:val="21"/>
                <w:szCs w:val="21"/>
                <w:highlight w:val="none"/>
              </w:rPr>
              <w:t>年以上相关维修工作经验，能独立完成维修任务。</w:t>
            </w:r>
          </w:p>
        </w:tc>
        <w:tc>
          <w:tcPr>
            <w:tcW w:w="2695" w:type="pct"/>
            <w:vAlign w:val="center"/>
          </w:tcPr>
          <w:p w14:paraId="289CECAF">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对第三方项目整改工作进行跟进、管理、反馈，如有异常，立即制止并上报。</w:t>
            </w:r>
          </w:p>
        </w:tc>
      </w:tr>
      <w:tr w14:paraId="0F07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08" w:type="pct"/>
            <w:vMerge w:val="restart"/>
            <w:vAlign w:val="center"/>
          </w:tcPr>
          <w:p w14:paraId="738BAAA8">
            <w:pPr>
              <w:spacing w:line="400" w:lineRule="exact"/>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接待、会议服务岗</w:t>
            </w:r>
          </w:p>
        </w:tc>
        <w:tc>
          <w:tcPr>
            <w:tcW w:w="1995" w:type="pct"/>
            <w:vAlign w:val="center"/>
          </w:tcPr>
          <w:p w14:paraId="348876D4">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学历要求：高中或中专以上学历，文秘、酒店管理等相关专业优先。</w:t>
            </w:r>
          </w:p>
        </w:tc>
        <w:tc>
          <w:tcPr>
            <w:tcW w:w="2695" w:type="pct"/>
            <w:vAlign w:val="center"/>
          </w:tcPr>
          <w:p w14:paraId="4D54A9B4">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1、接待客户时，应呈标准站姿：抬头、挺胸、收腹，面带微笑。</w:t>
            </w:r>
          </w:p>
          <w:p w14:paraId="7E5813F4">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女士双手虎口交叉叠放于腹部位置，右手在上左手在下，呈丁字步站立。</w:t>
            </w:r>
          </w:p>
          <w:p w14:paraId="2D6821A0">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男士应左手半握拳，右手握住左手腕，双手放置皮带扣位置，双腿并拢，呈外八字站立。</w:t>
            </w:r>
          </w:p>
        </w:tc>
      </w:tr>
      <w:tr w14:paraId="025B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08" w:type="pct"/>
            <w:vMerge w:val="continue"/>
            <w:vAlign w:val="center"/>
          </w:tcPr>
          <w:p w14:paraId="55863404">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2A144209">
            <w:pPr>
              <w:spacing w:line="400" w:lineRule="exact"/>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年龄要求：18-35岁，身体健康</w:t>
            </w:r>
          </w:p>
        </w:tc>
        <w:tc>
          <w:tcPr>
            <w:tcW w:w="2695" w:type="pct"/>
            <w:vAlign w:val="center"/>
          </w:tcPr>
          <w:p w14:paraId="415E285A">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2、站岗时须保持站立姿势，微笑。负责吧台内器具的洗涤保养及使用器具的收集整理和保管工作。</w:t>
            </w:r>
          </w:p>
        </w:tc>
      </w:tr>
      <w:tr w14:paraId="061B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08" w:type="pct"/>
            <w:vMerge w:val="continue"/>
            <w:vAlign w:val="center"/>
          </w:tcPr>
          <w:p w14:paraId="2A1B9323">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354A6347">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职业素养：形象端正，</w:t>
            </w:r>
            <w:r>
              <w:rPr>
                <w:rFonts w:hint="default" w:ascii="Times New Roman" w:hAnsi="Times New Roman" w:eastAsia="仿宋" w:cs="Times New Roman"/>
                <w:bCs/>
                <w:color w:val="auto"/>
                <w:sz w:val="21"/>
                <w:szCs w:val="21"/>
                <w:highlight w:val="none"/>
                <w:lang w:val="en-US" w:eastAsia="zh-CN"/>
              </w:rPr>
              <w:t>普通话标准，</w:t>
            </w:r>
            <w:r>
              <w:rPr>
                <w:rFonts w:hint="default" w:ascii="Times New Roman" w:hAnsi="Times New Roman" w:eastAsia="仿宋" w:cs="Times New Roman"/>
                <w:bCs/>
                <w:color w:val="auto"/>
                <w:sz w:val="21"/>
                <w:szCs w:val="21"/>
                <w:highlight w:val="none"/>
              </w:rPr>
              <w:t>具备良好的沟通能力和服务意识。</w:t>
            </w:r>
          </w:p>
        </w:tc>
        <w:tc>
          <w:tcPr>
            <w:tcW w:w="2695" w:type="pct"/>
            <w:vAlign w:val="center"/>
          </w:tcPr>
          <w:p w14:paraId="6EA1D74E">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3、吧台内物品摆放规整，无私人物品，保持吧台台面、地面干净整洁，无水渍。</w:t>
            </w:r>
          </w:p>
        </w:tc>
      </w:tr>
      <w:tr w14:paraId="2C9E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08" w:type="pct"/>
            <w:vMerge w:val="continue"/>
            <w:vAlign w:val="center"/>
          </w:tcPr>
          <w:p w14:paraId="03F2F2C9">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7B0778C7">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技能要求：熟悉会议流程，能熟练操作会议设备（如投影仪、音响等）。</w:t>
            </w:r>
          </w:p>
        </w:tc>
        <w:tc>
          <w:tcPr>
            <w:tcW w:w="2695" w:type="pct"/>
            <w:vAlign w:val="center"/>
          </w:tcPr>
          <w:p w14:paraId="620D54FE">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4、根据会议需要，布置会场，并提供会议服务。</w:t>
            </w:r>
          </w:p>
        </w:tc>
      </w:tr>
      <w:tr w14:paraId="745F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8" w:type="pct"/>
            <w:vMerge w:val="continue"/>
            <w:vAlign w:val="center"/>
          </w:tcPr>
          <w:p w14:paraId="25692FFC">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51ADBBA6">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其他要求：有会务服务或酒店服务经验者优先，能适应临时加班或高强度工作。</w:t>
            </w:r>
          </w:p>
        </w:tc>
        <w:tc>
          <w:tcPr>
            <w:tcW w:w="2695" w:type="pct"/>
            <w:vAlign w:val="center"/>
          </w:tcPr>
          <w:p w14:paraId="039D49ED">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5、应随时注意客户的动向，当客户表示出需要帮助时，应快步上前给予客户回应:“您好，请问需要帮助吗？”</w:t>
            </w:r>
          </w:p>
        </w:tc>
      </w:tr>
      <w:tr w14:paraId="5E63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08" w:type="pct"/>
            <w:vMerge w:val="continue"/>
            <w:vAlign w:val="center"/>
          </w:tcPr>
          <w:p w14:paraId="6BB295AC">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6DB7A38E">
            <w:pPr>
              <w:spacing w:line="400" w:lineRule="exact"/>
              <w:jc w:val="center"/>
              <w:rPr>
                <w:rFonts w:hint="default" w:ascii="Times New Roman" w:hAnsi="Times New Roman" w:eastAsia="仿宋" w:cs="Times New Roman"/>
                <w:bCs/>
                <w:color w:val="auto"/>
                <w:sz w:val="21"/>
                <w:szCs w:val="21"/>
                <w:highlight w:val="none"/>
              </w:rPr>
            </w:pPr>
          </w:p>
        </w:tc>
        <w:tc>
          <w:tcPr>
            <w:tcW w:w="2695" w:type="pct"/>
            <w:vAlign w:val="center"/>
          </w:tcPr>
          <w:p w14:paraId="0947033F">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6、客户离开时主动提醒客户带好随身物品。“请带好随身物品，谢谢参观，请慢走。”</w:t>
            </w:r>
          </w:p>
        </w:tc>
      </w:tr>
      <w:tr w14:paraId="28EE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08" w:type="pct"/>
            <w:vMerge w:val="continue"/>
            <w:vAlign w:val="center"/>
          </w:tcPr>
          <w:p w14:paraId="5F8A3C36">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484C7F59">
            <w:pPr>
              <w:spacing w:line="400" w:lineRule="exact"/>
              <w:jc w:val="center"/>
              <w:rPr>
                <w:rFonts w:hint="default" w:ascii="Times New Roman" w:hAnsi="Times New Roman" w:eastAsia="仿宋" w:cs="Times New Roman"/>
                <w:bCs/>
                <w:color w:val="auto"/>
                <w:sz w:val="21"/>
                <w:szCs w:val="21"/>
                <w:highlight w:val="none"/>
              </w:rPr>
            </w:pPr>
          </w:p>
        </w:tc>
        <w:tc>
          <w:tcPr>
            <w:tcW w:w="2695" w:type="pct"/>
            <w:vAlign w:val="center"/>
          </w:tcPr>
          <w:p w14:paraId="349233EC">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7、具备一定讲解能力，完整背诵讲解书稿，能满足一般接待讲解要求。</w:t>
            </w:r>
          </w:p>
        </w:tc>
      </w:tr>
      <w:tr w14:paraId="3CF5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08" w:type="pct"/>
            <w:vMerge w:val="restart"/>
            <w:vAlign w:val="center"/>
          </w:tcPr>
          <w:p w14:paraId="7BC27290">
            <w:pPr>
              <w:spacing w:line="400" w:lineRule="exact"/>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保洁岗</w:t>
            </w:r>
          </w:p>
          <w:p w14:paraId="045EE94F">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6C53F2A6">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年龄要求：18-55岁，身体健康，能适应体力劳动。</w:t>
            </w:r>
          </w:p>
        </w:tc>
        <w:tc>
          <w:tcPr>
            <w:tcW w:w="2695" w:type="pct"/>
            <w:vAlign w:val="center"/>
          </w:tcPr>
          <w:p w14:paraId="7DDBE9A5">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1、灯具完好。</w:t>
            </w:r>
          </w:p>
        </w:tc>
      </w:tr>
      <w:tr w14:paraId="7FAA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08" w:type="pct"/>
            <w:vMerge w:val="continue"/>
            <w:vAlign w:val="center"/>
          </w:tcPr>
          <w:p w14:paraId="5E933407">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2BCF605D">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职业素养：工作认真细致，吃苦耐劳，有良好的卫生习惯。</w:t>
            </w:r>
          </w:p>
        </w:tc>
        <w:tc>
          <w:tcPr>
            <w:tcW w:w="2695" w:type="pct"/>
            <w:vAlign w:val="center"/>
          </w:tcPr>
          <w:p w14:paraId="36D2F9C8">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2、空调运行正常，室温四季均宜保持在26摄氏度。</w:t>
            </w:r>
          </w:p>
        </w:tc>
      </w:tr>
      <w:tr w14:paraId="791A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08" w:type="pct"/>
            <w:vMerge w:val="continue"/>
            <w:vAlign w:val="center"/>
          </w:tcPr>
          <w:p w14:paraId="44467D99">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000BC7A7">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技能要求：熟悉清洁工具和清洁剂的使用方法，掌握基本的清洁流程。</w:t>
            </w:r>
          </w:p>
        </w:tc>
        <w:tc>
          <w:tcPr>
            <w:tcW w:w="2695" w:type="pct"/>
            <w:vAlign w:val="center"/>
          </w:tcPr>
          <w:p w14:paraId="2180A950">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3、标识牌摆放：进行卫生间清洁、地面清洁、高位清洁、水体清洁、工程维修等均应摆放相应提示标识牌。</w:t>
            </w:r>
          </w:p>
        </w:tc>
      </w:tr>
      <w:tr w14:paraId="635D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08" w:type="pct"/>
            <w:vMerge w:val="continue"/>
            <w:vAlign w:val="center"/>
          </w:tcPr>
          <w:p w14:paraId="253FF272">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17F492F9">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其他要求：有相关保洁工作经验者优先。</w:t>
            </w:r>
          </w:p>
        </w:tc>
        <w:tc>
          <w:tcPr>
            <w:tcW w:w="2695" w:type="pct"/>
            <w:vAlign w:val="center"/>
          </w:tcPr>
          <w:p w14:paraId="2230D115">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4、清洁时，随身配备的清洁工具要求放置在可视的 1m 范围内；</w:t>
            </w:r>
          </w:p>
        </w:tc>
      </w:tr>
      <w:tr w14:paraId="055C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08" w:type="pct"/>
            <w:vMerge w:val="continue"/>
            <w:vAlign w:val="center"/>
          </w:tcPr>
          <w:p w14:paraId="5B2B5562">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35835027">
            <w:pPr>
              <w:spacing w:line="400" w:lineRule="exact"/>
              <w:jc w:val="center"/>
              <w:rPr>
                <w:rFonts w:hint="default" w:ascii="Times New Roman" w:hAnsi="Times New Roman" w:eastAsia="仿宋" w:cs="Times New Roman"/>
                <w:bCs/>
                <w:color w:val="auto"/>
                <w:sz w:val="21"/>
                <w:szCs w:val="21"/>
                <w:highlight w:val="none"/>
              </w:rPr>
            </w:pPr>
          </w:p>
        </w:tc>
        <w:tc>
          <w:tcPr>
            <w:tcW w:w="2695" w:type="pct"/>
            <w:vAlign w:val="center"/>
          </w:tcPr>
          <w:p w14:paraId="6ADCEE3D">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5、作业时,遇到有客户经过,立即暂停手中的工作，将工具收到自己身边，站立一旁, 微笑欠身致意：“您好！”待客户走过后才继续作业。</w:t>
            </w:r>
          </w:p>
        </w:tc>
      </w:tr>
      <w:tr w14:paraId="6186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08" w:type="pct"/>
            <w:vMerge w:val="continue"/>
            <w:vAlign w:val="center"/>
          </w:tcPr>
          <w:p w14:paraId="5E0347FA">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509A0CD1">
            <w:pPr>
              <w:spacing w:line="400" w:lineRule="exact"/>
              <w:jc w:val="center"/>
              <w:rPr>
                <w:rFonts w:hint="default" w:ascii="Times New Roman" w:hAnsi="Times New Roman" w:eastAsia="仿宋" w:cs="Times New Roman"/>
                <w:bCs/>
                <w:color w:val="auto"/>
                <w:sz w:val="21"/>
                <w:szCs w:val="21"/>
                <w:highlight w:val="none"/>
              </w:rPr>
            </w:pPr>
          </w:p>
        </w:tc>
        <w:tc>
          <w:tcPr>
            <w:tcW w:w="2695" w:type="pct"/>
            <w:vAlign w:val="center"/>
          </w:tcPr>
          <w:p w14:paraId="56395D75">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6、地面：应保持无纸屑，无烟头、无杂物。</w:t>
            </w:r>
          </w:p>
        </w:tc>
      </w:tr>
      <w:tr w14:paraId="4A7A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8" w:type="pct"/>
            <w:vMerge w:val="continue"/>
            <w:vAlign w:val="center"/>
          </w:tcPr>
          <w:p w14:paraId="680FFD18">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4D996059">
            <w:pPr>
              <w:spacing w:line="400" w:lineRule="exact"/>
              <w:jc w:val="center"/>
              <w:rPr>
                <w:rFonts w:hint="default" w:ascii="Times New Roman" w:hAnsi="Times New Roman" w:eastAsia="仿宋" w:cs="Times New Roman"/>
                <w:bCs/>
                <w:color w:val="auto"/>
                <w:sz w:val="21"/>
                <w:szCs w:val="21"/>
                <w:highlight w:val="none"/>
              </w:rPr>
            </w:pPr>
          </w:p>
        </w:tc>
        <w:tc>
          <w:tcPr>
            <w:tcW w:w="2695" w:type="pct"/>
            <w:vAlign w:val="center"/>
          </w:tcPr>
          <w:p w14:paraId="6CF83EF5">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7、桌面台面：</w:t>
            </w:r>
          </w:p>
        </w:tc>
      </w:tr>
      <w:tr w14:paraId="3D3D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8" w:type="pct"/>
            <w:vMerge w:val="continue"/>
            <w:vAlign w:val="center"/>
          </w:tcPr>
          <w:p w14:paraId="3F32D278">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079C7249">
            <w:pPr>
              <w:spacing w:line="400" w:lineRule="exact"/>
              <w:jc w:val="center"/>
              <w:rPr>
                <w:rFonts w:hint="default" w:ascii="Times New Roman" w:hAnsi="Times New Roman" w:eastAsia="仿宋" w:cs="Times New Roman"/>
                <w:bCs/>
                <w:color w:val="auto"/>
                <w:sz w:val="21"/>
                <w:szCs w:val="21"/>
                <w:highlight w:val="none"/>
              </w:rPr>
            </w:pPr>
          </w:p>
        </w:tc>
        <w:tc>
          <w:tcPr>
            <w:tcW w:w="2695" w:type="pct"/>
            <w:vAlign w:val="center"/>
          </w:tcPr>
          <w:p w14:paraId="1755D6E5">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7.1、接待区台面：饰品摆放整齐、无纸屑、无积垢。</w:t>
            </w:r>
          </w:p>
        </w:tc>
      </w:tr>
      <w:tr w14:paraId="68D9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8" w:type="pct"/>
            <w:vMerge w:val="continue"/>
            <w:vAlign w:val="center"/>
          </w:tcPr>
          <w:p w14:paraId="0A3B37DA">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281ECE19">
            <w:pPr>
              <w:spacing w:line="400" w:lineRule="exact"/>
              <w:jc w:val="center"/>
              <w:rPr>
                <w:rFonts w:hint="default" w:ascii="Times New Roman" w:hAnsi="Times New Roman" w:eastAsia="仿宋" w:cs="Times New Roman"/>
                <w:bCs/>
                <w:color w:val="auto"/>
                <w:sz w:val="21"/>
                <w:szCs w:val="21"/>
                <w:highlight w:val="none"/>
              </w:rPr>
            </w:pPr>
          </w:p>
        </w:tc>
        <w:tc>
          <w:tcPr>
            <w:tcW w:w="2695" w:type="pct"/>
            <w:vAlign w:val="center"/>
          </w:tcPr>
          <w:p w14:paraId="6215DCF8">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8、卫生间：</w:t>
            </w:r>
          </w:p>
        </w:tc>
      </w:tr>
      <w:tr w14:paraId="1A86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8" w:type="pct"/>
            <w:vMerge w:val="continue"/>
            <w:vAlign w:val="center"/>
          </w:tcPr>
          <w:p w14:paraId="39508D1F">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26DFE5DD">
            <w:pPr>
              <w:spacing w:line="400" w:lineRule="exact"/>
              <w:jc w:val="center"/>
              <w:rPr>
                <w:rFonts w:hint="default" w:ascii="Times New Roman" w:hAnsi="Times New Roman" w:eastAsia="仿宋" w:cs="Times New Roman"/>
                <w:bCs/>
                <w:color w:val="auto"/>
                <w:sz w:val="21"/>
                <w:szCs w:val="21"/>
                <w:highlight w:val="none"/>
              </w:rPr>
            </w:pPr>
          </w:p>
        </w:tc>
        <w:tc>
          <w:tcPr>
            <w:tcW w:w="2695" w:type="pct"/>
            <w:vAlign w:val="center"/>
          </w:tcPr>
          <w:p w14:paraId="044B0F07">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8.1、洗手台台面、镜面无水迹。</w:t>
            </w:r>
          </w:p>
        </w:tc>
      </w:tr>
      <w:tr w14:paraId="1B8A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8" w:type="pct"/>
            <w:vMerge w:val="continue"/>
            <w:vAlign w:val="center"/>
          </w:tcPr>
          <w:p w14:paraId="740208A7">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5B065251">
            <w:pPr>
              <w:spacing w:line="400" w:lineRule="exact"/>
              <w:jc w:val="center"/>
              <w:rPr>
                <w:rFonts w:hint="default" w:ascii="Times New Roman" w:hAnsi="Times New Roman" w:eastAsia="仿宋" w:cs="Times New Roman"/>
                <w:bCs/>
                <w:color w:val="auto"/>
                <w:sz w:val="21"/>
                <w:szCs w:val="21"/>
                <w:highlight w:val="none"/>
              </w:rPr>
            </w:pPr>
          </w:p>
        </w:tc>
        <w:tc>
          <w:tcPr>
            <w:tcW w:w="2695" w:type="pct"/>
            <w:vAlign w:val="center"/>
          </w:tcPr>
          <w:p w14:paraId="01C3AA53">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8.2、各蹲位配备卷纸。</w:t>
            </w:r>
          </w:p>
        </w:tc>
      </w:tr>
      <w:tr w14:paraId="4D27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8" w:type="pct"/>
            <w:vMerge w:val="continue"/>
            <w:vAlign w:val="center"/>
          </w:tcPr>
          <w:p w14:paraId="4419426A">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0C147889">
            <w:pPr>
              <w:spacing w:line="400" w:lineRule="exact"/>
              <w:jc w:val="center"/>
              <w:rPr>
                <w:rFonts w:hint="default" w:ascii="Times New Roman" w:hAnsi="Times New Roman" w:eastAsia="仿宋" w:cs="Times New Roman"/>
                <w:bCs/>
                <w:color w:val="auto"/>
                <w:sz w:val="21"/>
                <w:szCs w:val="21"/>
                <w:highlight w:val="none"/>
              </w:rPr>
            </w:pPr>
          </w:p>
        </w:tc>
        <w:tc>
          <w:tcPr>
            <w:tcW w:w="2695" w:type="pct"/>
            <w:vAlign w:val="center"/>
          </w:tcPr>
          <w:p w14:paraId="51919848">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8.3、垃圾桶内垃圾不应超过1/3高度。</w:t>
            </w:r>
          </w:p>
        </w:tc>
      </w:tr>
      <w:tr w14:paraId="269A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8" w:type="pct"/>
            <w:vMerge w:val="continue"/>
            <w:vAlign w:val="center"/>
          </w:tcPr>
          <w:p w14:paraId="7F728CFE">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480BA7ED">
            <w:pPr>
              <w:spacing w:line="400" w:lineRule="exact"/>
              <w:jc w:val="center"/>
              <w:rPr>
                <w:rFonts w:hint="default" w:ascii="Times New Roman" w:hAnsi="Times New Roman" w:eastAsia="仿宋" w:cs="Times New Roman"/>
                <w:bCs/>
                <w:color w:val="auto"/>
                <w:sz w:val="21"/>
                <w:szCs w:val="21"/>
                <w:highlight w:val="none"/>
              </w:rPr>
            </w:pPr>
          </w:p>
        </w:tc>
        <w:tc>
          <w:tcPr>
            <w:tcW w:w="2695" w:type="pct"/>
            <w:vAlign w:val="center"/>
          </w:tcPr>
          <w:p w14:paraId="7A7F13D4">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8.4、洗手液存量不低于容器储量的1/2。</w:t>
            </w:r>
          </w:p>
        </w:tc>
      </w:tr>
      <w:tr w14:paraId="705A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8" w:type="pct"/>
            <w:vMerge w:val="continue"/>
            <w:vAlign w:val="center"/>
          </w:tcPr>
          <w:p w14:paraId="7FEF8110">
            <w:pPr>
              <w:spacing w:line="400" w:lineRule="exact"/>
              <w:jc w:val="center"/>
              <w:rPr>
                <w:rFonts w:hint="default" w:ascii="Times New Roman" w:hAnsi="Times New Roman" w:eastAsia="仿宋" w:cs="Times New Roman"/>
                <w:bCs/>
                <w:color w:val="auto"/>
                <w:sz w:val="21"/>
                <w:szCs w:val="21"/>
                <w:highlight w:val="none"/>
              </w:rPr>
            </w:pPr>
          </w:p>
        </w:tc>
        <w:tc>
          <w:tcPr>
            <w:tcW w:w="1995" w:type="pct"/>
            <w:vAlign w:val="center"/>
          </w:tcPr>
          <w:p w14:paraId="1ACD0BF9">
            <w:pPr>
              <w:spacing w:line="400" w:lineRule="exact"/>
              <w:jc w:val="center"/>
              <w:rPr>
                <w:rFonts w:hint="default" w:ascii="Times New Roman" w:hAnsi="Times New Roman" w:eastAsia="仿宋" w:cs="Times New Roman"/>
                <w:bCs/>
                <w:color w:val="auto"/>
                <w:sz w:val="21"/>
                <w:szCs w:val="21"/>
                <w:highlight w:val="none"/>
              </w:rPr>
            </w:pPr>
          </w:p>
        </w:tc>
        <w:tc>
          <w:tcPr>
            <w:tcW w:w="2695" w:type="pct"/>
            <w:vAlign w:val="center"/>
          </w:tcPr>
          <w:p w14:paraId="608B9669">
            <w:pPr>
              <w:spacing w:line="400" w:lineRule="exac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8.5、便槽、蹲位、座便器无积垢、无异味。</w:t>
            </w:r>
          </w:p>
        </w:tc>
      </w:tr>
    </w:tbl>
    <w:p w14:paraId="50CEEC41">
      <w:pPr>
        <w:spacing w:line="360" w:lineRule="auto"/>
        <w:rPr>
          <w:rFonts w:ascii="宋体" w:hAnsi="宋体"/>
          <w:color w:val="auto"/>
          <w:highlight w:val="none"/>
        </w:rPr>
      </w:pPr>
    </w:p>
    <w:p w14:paraId="69292B16">
      <w:pPr>
        <w:pStyle w:val="4"/>
        <w:spacing w:line="360" w:lineRule="auto"/>
        <w:jc w:val="center"/>
        <w:rPr>
          <w:rFonts w:ascii="宋体" w:hAnsi="宋体"/>
          <w:color w:val="auto"/>
          <w:highlight w:val="none"/>
        </w:rPr>
      </w:pPr>
      <w:bookmarkStart w:id="493" w:name="_Toc534185829"/>
      <w:bookmarkStart w:id="494" w:name="_Toc287607865"/>
      <w:bookmarkStart w:id="495" w:name="_Toc23843"/>
      <w:bookmarkStart w:id="496" w:name="_Toc430530528"/>
      <w:bookmarkStart w:id="497" w:name="_Toc509218852"/>
      <w:bookmarkStart w:id="498" w:name="_Toc4333"/>
      <w:bookmarkStart w:id="499" w:name="_Toc287620812"/>
      <w:r>
        <w:rPr>
          <w:rFonts w:hint="eastAsia" w:ascii="宋体" w:hAnsi="宋体"/>
          <w:color w:val="auto"/>
          <w:highlight w:val="none"/>
        </w:rPr>
        <w:t>第</w:t>
      </w:r>
      <w:r>
        <w:rPr>
          <w:rFonts w:hint="eastAsia" w:ascii="宋体" w:hAnsi="宋体"/>
          <w:color w:val="auto"/>
          <w:highlight w:val="none"/>
          <w:lang w:val="en-US" w:eastAsia="zh-CN"/>
        </w:rPr>
        <w:t>六</w:t>
      </w:r>
      <w:r>
        <w:rPr>
          <w:rFonts w:hint="eastAsia" w:ascii="宋体" w:hAnsi="宋体"/>
          <w:color w:val="auto"/>
          <w:highlight w:val="none"/>
        </w:rPr>
        <w:t xml:space="preserve">章  </w:t>
      </w:r>
      <w:r>
        <w:rPr>
          <w:rFonts w:hint="eastAsia" w:ascii="宋体" w:hAnsi="宋体"/>
          <w:color w:val="auto"/>
          <w:highlight w:val="none"/>
          <w:lang w:eastAsia="zh-CN"/>
        </w:rPr>
        <w:t>竞选文件</w:t>
      </w:r>
      <w:r>
        <w:rPr>
          <w:rFonts w:hint="eastAsia" w:ascii="宋体" w:hAnsi="宋体"/>
          <w:color w:val="auto"/>
          <w:highlight w:val="none"/>
        </w:rPr>
        <w:t>格式</w:t>
      </w:r>
      <w:bookmarkEnd w:id="493"/>
      <w:bookmarkEnd w:id="494"/>
      <w:bookmarkEnd w:id="495"/>
      <w:bookmarkEnd w:id="496"/>
      <w:bookmarkEnd w:id="497"/>
      <w:bookmarkEnd w:id="498"/>
      <w:bookmarkEnd w:id="499"/>
    </w:p>
    <w:p w14:paraId="1CBD83E5">
      <w:pPr>
        <w:spacing w:line="360" w:lineRule="auto"/>
        <w:rPr>
          <w:rFonts w:ascii="宋体" w:hAnsi="宋体"/>
          <w:color w:val="auto"/>
          <w:sz w:val="32"/>
          <w:szCs w:val="32"/>
          <w:highlight w:val="none"/>
        </w:rPr>
      </w:pPr>
    </w:p>
    <w:p w14:paraId="55486CB8">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500" w:name="_Toc224103493"/>
      <w:r>
        <w:rPr>
          <w:rFonts w:hint="eastAsia" w:ascii="宋体" w:hAnsi="宋体"/>
          <w:color w:val="auto"/>
          <w:sz w:val="36"/>
          <w:szCs w:val="36"/>
          <w:highlight w:val="none"/>
        </w:rPr>
        <w:t>目  录</w:t>
      </w:r>
      <w:bookmarkEnd w:id="500"/>
    </w:p>
    <w:p w14:paraId="3C232A7D">
      <w:pPr>
        <w:spacing w:line="360" w:lineRule="auto"/>
        <w:jc w:val="center"/>
        <w:rPr>
          <w:rFonts w:ascii="宋体" w:hAnsi="宋体"/>
          <w:color w:val="auto"/>
          <w:szCs w:val="20"/>
          <w:highlight w:val="none"/>
        </w:rPr>
      </w:pPr>
    </w:p>
    <w:p w14:paraId="6A0E01C8">
      <w:pPr>
        <w:spacing w:line="360" w:lineRule="auto"/>
        <w:ind w:firstLine="420" w:firstLineChars="200"/>
        <w:rPr>
          <w:rFonts w:hint="eastAsia" w:ascii="宋体" w:hAnsi="宋体" w:eastAsia="宋体"/>
          <w:color w:val="auto"/>
          <w:highlight w:val="none"/>
          <w:lang w:eastAsia="zh-CN"/>
        </w:rPr>
      </w:pPr>
      <w:r>
        <w:rPr>
          <w:rFonts w:ascii="宋体" w:hAnsi="宋体"/>
          <w:color w:val="auto"/>
          <w:highlight w:val="none"/>
        </w:rPr>
        <w:t>（一）</w:t>
      </w:r>
      <w:r>
        <w:rPr>
          <w:rFonts w:hint="eastAsia" w:ascii="宋体" w:hAnsi="宋体"/>
          <w:color w:val="auto"/>
          <w:highlight w:val="none"/>
          <w:lang w:eastAsia="zh-CN"/>
        </w:rPr>
        <w:t>竞选函</w:t>
      </w:r>
    </w:p>
    <w:p w14:paraId="35070E71">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w:t>
      </w:r>
      <w:r>
        <w:rPr>
          <w:rFonts w:hint="eastAsia" w:ascii="宋体" w:hAnsi="宋体"/>
          <w:color w:val="auto"/>
          <w:highlight w:val="none"/>
        </w:rPr>
        <w:t>法定代表人身份证明或附有法定代表人身份证明的授权委托书</w:t>
      </w:r>
    </w:p>
    <w:p w14:paraId="598F5CEA">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）类似项目情况表</w:t>
      </w:r>
    </w:p>
    <w:p w14:paraId="333537D6">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承诺</w:t>
      </w:r>
    </w:p>
    <w:p w14:paraId="22B09D91">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w:t>
      </w:r>
      <w:r>
        <w:rPr>
          <w:rFonts w:hint="eastAsia" w:ascii="宋体" w:hAnsi="宋体"/>
          <w:color w:val="auto"/>
          <w:highlight w:val="none"/>
        </w:rPr>
        <w:t>技术方案</w:t>
      </w:r>
    </w:p>
    <w:p w14:paraId="657C5648">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六</w:t>
      </w:r>
      <w:r>
        <w:rPr>
          <w:rFonts w:hint="eastAsia" w:ascii="宋体" w:hAnsi="宋体"/>
          <w:color w:val="auto"/>
          <w:highlight w:val="none"/>
          <w:lang w:eastAsia="zh-CN"/>
        </w:rPr>
        <w:t>）</w:t>
      </w:r>
      <w:r>
        <w:rPr>
          <w:rFonts w:ascii="宋体" w:hAnsi="宋体"/>
          <w:color w:val="auto"/>
          <w:highlight w:val="none"/>
        </w:rPr>
        <w:t>其他资料</w:t>
      </w:r>
    </w:p>
    <w:p w14:paraId="2853CE0C">
      <w:pPr>
        <w:spacing w:line="360" w:lineRule="auto"/>
        <w:ind w:firstLine="420" w:firstLineChars="200"/>
        <w:rPr>
          <w:rFonts w:ascii="宋体" w:hAnsi="宋体"/>
          <w:color w:val="auto"/>
          <w:highlight w:val="none"/>
        </w:rPr>
      </w:pPr>
    </w:p>
    <w:p w14:paraId="43B8A617">
      <w:pPr>
        <w:spacing w:line="360" w:lineRule="auto"/>
        <w:rPr>
          <w:rFonts w:ascii="宋体" w:hAnsi="宋体"/>
          <w:color w:val="auto"/>
          <w:highlight w:val="none"/>
        </w:rPr>
      </w:pPr>
    </w:p>
    <w:p w14:paraId="3E1F2047">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501" w:name="_Toc430530529"/>
      <w:bookmarkStart w:id="502" w:name="_Toc287620813"/>
      <w:bookmarkStart w:id="503" w:name="_Toc277082642"/>
      <w:bookmarkStart w:id="504" w:name="_Toc224103494"/>
      <w:bookmarkStart w:id="505" w:name="_Toc287607866"/>
    </w:p>
    <w:bookmarkEnd w:id="501"/>
    <w:bookmarkEnd w:id="502"/>
    <w:bookmarkEnd w:id="503"/>
    <w:bookmarkEnd w:id="504"/>
    <w:bookmarkEnd w:id="505"/>
    <w:p w14:paraId="1D1099C3">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E43551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9D5D82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A56C0B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4BD7CA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D66B10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85212EA">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w:t>
      </w:r>
      <w:r>
        <w:rPr>
          <w:rFonts w:hint="eastAsia" w:ascii="宋体" w:hAnsi="宋体"/>
          <w:color w:val="auto"/>
          <w:kern w:val="0"/>
          <w:sz w:val="72"/>
          <w:szCs w:val="72"/>
          <w:highlight w:val="none"/>
        </w:rPr>
        <w:t xml:space="preserve"> 标 文 件</w:t>
      </w:r>
    </w:p>
    <w:p w14:paraId="61EF6FEE">
      <w:pPr>
        <w:autoSpaceDE w:val="0"/>
        <w:autoSpaceDN w:val="0"/>
        <w:adjustRightInd w:val="0"/>
        <w:snapToGrid w:val="0"/>
        <w:spacing w:line="360" w:lineRule="auto"/>
        <w:jc w:val="left"/>
        <w:rPr>
          <w:rFonts w:ascii="宋体" w:hAnsi="宋体"/>
          <w:color w:val="auto"/>
          <w:kern w:val="0"/>
          <w:sz w:val="16"/>
          <w:szCs w:val="16"/>
          <w:highlight w:val="none"/>
        </w:rPr>
      </w:pPr>
    </w:p>
    <w:p w14:paraId="2DBCB601">
      <w:pPr>
        <w:autoSpaceDE w:val="0"/>
        <w:autoSpaceDN w:val="0"/>
        <w:adjustRightInd w:val="0"/>
        <w:snapToGrid w:val="0"/>
        <w:spacing w:line="360" w:lineRule="auto"/>
        <w:jc w:val="left"/>
        <w:rPr>
          <w:rFonts w:ascii="宋体" w:hAnsi="宋体"/>
          <w:b/>
          <w:color w:val="auto"/>
          <w:kern w:val="0"/>
          <w:sz w:val="20"/>
          <w:szCs w:val="20"/>
          <w:highlight w:val="none"/>
        </w:rPr>
      </w:pPr>
    </w:p>
    <w:p w14:paraId="487F49FD">
      <w:pPr>
        <w:autoSpaceDE w:val="0"/>
        <w:autoSpaceDN w:val="0"/>
        <w:adjustRightInd w:val="0"/>
        <w:snapToGrid w:val="0"/>
        <w:spacing w:line="360" w:lineRule="auto"/>
        <w:jc w:val="left"/>
        <w:rPr>
          <w:rFonts w:ascii="宋体" w:hAnsi="宋体"/>
          <w:b/>
          <w:color w:val="auto"/>
          <w:kern w:val="0"/>
          <w:sz w:val="20"/>
          <w:szCs w:val="20"/>
          <w:highlight w:val="none"/>
        </w:rPr>
      </w:pPr>
    </w:p>
    <w:p w14:paraId="2B3AC120">
      <w:pPr>
        <w:autoSpaceDE w:val="0"/>
        <w:autoSpaceDN w:val="0"/>
        <w:adjustRightInd w:val="0"/>
        <w:snapToGrid w:val="0"/>
        <w:spacing w:line="360" w:lineRule="auto"/>
        <w:jc w:val="left"/>
        <w:rPr>
          <w:rFonts w:ascii="宋体" w:hAnsi="宋体"/>
          <w:b/>
          <w:color w:val="auto"/>
          <w:kern w:val="0"/>
          <w:sz w:val="20"/>
          <w:szCs w:val="20"/>
          <w:highlight w:val="none"/>
        </w:rPr>
      </w:pPr>
    </w:p>
    <w:p w14:paraId="52E39FFA">
      <w:pPr>
        <w:autoSpaceDE w:val="0"/>
        <w:autoSpaceDN w:val="0"/>
        <w:adjustRightInd w:val="0"/>
        <w:snapToGrid w:val="0"/>
        <w:spacing w:line="360" w:lineRule="auto"/>
        <w:jc w:val="left"/>
        <w:rPr>
          <w:rFonts w:ascii="宋体" w:hAnsi="宋体"/>
          <w:b/>
          <w:color w:val="auto"/>
          <w:kern w:val="0"/>
          <w:sz w:val="20"/>
          <w:szCs w:val="20"/>
          <w:highlight w:val="none"/>
        </w:rPr>
      </w:pPr>
    </w:p>
    <w:p w14:paraId="3A09AC1A">
      <w:pPr>
        <w:autoSpaceDE w:val="0"/>
        <w:autoSpaceDN w:val="0"/>
        <w:adjustRightInd w:val="0"/>
        <w:snapToGrid w:val="0"/>
        <w:spacing w:line="360" w:lineRule="auto"/>
        <w:jc w:val="left"/>
        <w:rPr>
          <w:rFonts w:ascii="宋体" w:hAnsi="宋体"/>
          <w:b/>
          <w:color w:val="auto"/>
          <w:kern w:val="0"/>
          <w:sz w:val="20"/>
          <w:szCs w:val="20"/>
          <w:highlight w:val="none"/>
        </w:rPr>
      </w:pPr>
    </w:p>
    <w:p w14:paraId="29D6F578">
      <w:pPr>
        <w:autoSpaceDE w:val="0"/>
        <w:autoSpaceDN w:val="0"/>
        <w:adjustRightInd w:val="0"/>
        <w:snapToGrid w:val="0"/>
        <w:spacing w:line="360" w:lineRule="auto"/>
        <w:jc w:val="left"/>
        <w:rPr>
          <w:rFonts w:ascii="宋体" w:hAnsi="宋体"/>
          <w:b/>
          <w:color w:val="auto"/>
          <w:kern w:val="0"/>
          <w:sz w:val="20"/>
          <w:szCs w:val="20"/>
          <w:highlight w:val="none"/>
        </w:rPr>
      </w:pPr>
    </w:p>
    <w:p w14:paraId="4B6308A9">
      <w:pPr>
        <w:autoSpaceDE w:val="0"/>
        <w:autoSpaceDN w:val="0"/>
        <w:adjustRightInd w:val="0"/>
        <w:snapToGrid w:val="0"/>
        <w:spacing w:line="360" w:lineRule="auto"/>
        <w:jc w:val="left"/>
        <w:rPr>
          <w:rFonts w:ascii="宋体" w:hAnsi="宋体"/>
          <w:b/>
          <w:color w:val="auto"/>
          <w:kern w:val="0"/>
          <w:sz w:val="20"/>
          <w:szCs w:val="20"/>
          <w:highlight w:val="none"/>
        </w:rPr>
      </w:pPr>
    </w:p>
    <w:p w14:paraId="5A100D02">
      <w:pPr>
        <w:autoSpaceDE w:val="0"/>
        <w:autoSpaceDN w:val="0"/>
        <w:adjustRightInd w:val="0"/>
        <w:snapToGrid w:val="0"/>
        <w:spacing w:line="360" w:lineRule="auto"/>
        <w:jc w:val="left"/>
        <w:rPr>
          <w:rFonts w:ascii="宋体" w:hAnsi="宋体"/>
          <w:b/>
          <w:color w:val="auto"/>
          <w:kern w:val="0"/>
          <w:sz w:val="20"/>
          <w:szCs w:val="20"/>
          <w:highlight w:val="none"/>
        </w:rPr>
      </w:pPr>
    </w:p>
    <w:p w14:paraId="18254D16">
      <w:pPr>
        <w:autoSpaceDE w:val="0"/>
        <w:autoSpaceDN w:val="0"/>
        <w:adjustRightInd w:val="0"/>
        <w:snapToGrid w:val="0"/>
        <w:spacing w:line="360" w:lineRule="auto"/>
        <w:jc w:val="left"/>
        <w:rPr>
          <w:rFonts w:ascii="宋体" w:hAnsi="宋体"/>
          <w:b/>
          <w:color w:val="auto"/>
          <w:kern w:val="0"/>
          <w:sz w:val="20"/>
          <w:szCs w:val="20"/>
          <w:highlight w:val="none"/>
        </w:rPr>
      </w:pPr>
    </w:p>
    <w:p w14:paraId="5B1239BF">
      <w:pPr>
        <w:autoSpaceDE w:val="0"/>
        <w:autoSpaceDN w:val="0"/>
        <w:adjustRightInd w:val="0"/>
        <w:snapToGrid w:val="0"/>
        <w:spacing w:line="360" w:lineRule="auto"/>
        <w:jc w:val="left"/>
        <w:rPr>
          <w:rFonts w:ascii="宋体" w:hAnsi="宋体"/>
          <w:b/>
          <w:color w:val="auto"/>
          <w:kern w:val="0"/>
          <w:sz w:val="20"/>
          <w:szCs w:val="20"/>
          <w:highlight w:val="none"/>
        </w:rPr>
      </w:pPr>
    </w:p>
    <w:p w14:paraId="2B288B8E">
      <w:pPr>
        <w:autoSpaceDE w:val="0"/>
        <w:autoSpaceDN w:val="0"/>
        <w:adjustRightInd w:val="0"/>
        <w:snapToGrid w:val="0"/>
        <w:spacing w:line="360" w:lineRule="auto"/>
        <w:jc w:val="left"/>
        <w:rPr>
          <w:rFonts w:ascii="宋体" w:hAnsi="宋体"/>
          <w:b/>
          <w:color w:val="auto"/>
          <w:kern w:val="0"/>
          <w:sz w:val="20"/>
          <w:szCs w:val="20"/>
          <w:highlight w:val="none"/>
        </w:rPr>
      </w:pPr>
    </w:p>
    <w:p w14:paraId="22297142">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0FFC5058">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299DEF45">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E02ACB3">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DDAAE27">
      <w:pPr>
        <w:autoSpaceDE w:val="0"/>
        <w:autoSpaceDN w:val="0"/>
        <w:adjustRightInd w:val="0"/>
        <w:snapToGrid w:val="0"/>
        <w:spacing w:line="360" w:lineRule="auto"/>
        <w:jc w:val="left"/>
        <w:rPr>
          <w:rFonts w:ascii="宋体" w:hAnsi="宋体"/>
          <w:color w:val="auto"/>
          <w:kern w:val="0"/>
          <w:sz w:val="24"/>
          <w:szCs w:val="21"/>
          <w:highlight w:val="none"/>
        </w:rPr>
      </w:pPr>
    </w:p>
    <w:p w14:paraId="7A76227A">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（一）竞选函</w:t>
      </w:r>
    </w:p>
    <w:p w14:paraId="7BB58355">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（二）法定代表人身份证明或附有法定代表人身份证明的授权委托书</w:t>
      </w:r>
    </w:p>
    <w:p w14:paraId="572AE7C0">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三</w:t>
      </w:r>
      <w:r>
        <w:rPr>
          <w:rFonts w:hint="eastAsia" w:ascii="宋体" w:hAnsi="宋体"/>
          <w:color w:val="auto"/>
          <w:kern w:val="0"/>
          <w:sz w:val="24"/>
          <w:highlight w:val="none"/>
        </w:rPr>
        <w:t>）类似项目情况表</w:t>
      </w:r>
    </w:p>
    <w:p w14:paraId="75F2B652">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四</w:t>
      </w:r>
      <w:r>
        <w:rPr>
          <w:rFonts w:hint="eastAsia" w:ascii="宋体" w:hAnsi="宋体"/>
          <w:color w:val="auto"/>
          <w:kern w:val="0"/>
          <w:sz w:val="24"/>
          <w:highlight w:val="none"/>
        </w:rPr>
        <w:t>）承诺</w:t>
      </w:r>
    </w:p>
    <w:p w14:paraId="08F90A02">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五</w:t>
      </w:r>
      <w:r>
        <w:rPr>
          <w:rFonts w:hint="eastAsia" w:ascii="宋体" w:hAnsi="宋体"/>
          <w:color w:val="auto"/>
          <w:kern w:val="0"/>
          <w:sz w:val="24"/>
          <w:highlight w:val="none"/>
        </w:rPr>
        <w:t>）技术方案</w:t>
      </w:r>
    </w:p>
    <w:p w14:paraId="3F2B406E">
      <w:pPr>
        <w:autoSpaceDE w:val="0"/>
        <w:autoSpaceDN w:val="0"/>
        <w:adjustRightIn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六</w:t>
      </w:r>
      <w:r>
        <w:rPr>
          <w:rFonts w:hint="eastAsia" w:ascii="宋体" w:hAnsi="宋体"/>
          <w:color w:val="auto"/>
          <w:kern w:val="0"/>
          <w:sz w:val="24"/>
          <w:highlight w:val="none"/>
        </w:rPr>
        <w:t>）其他资料</w:t>
      </w:r>
    </w:p>
    <w:p w14:paraId="7F22D176">
      <w:pPr>
        <w:autoSpaceDE w:val="0"/>
        <w:autoSpaceDN w:val="0"/>
        <w:adjustRightInd w:val="0"/>
        <w:snapToGrid w:val="0"/>
        <w:spacing w:line="360" w:lineRule="auto"/>
        <w:jc w:val="left"/>
        <w:rPr>
          <w:rFonts w:ascii="宋体" w:hAnsi="宋体"/>
          <w:color w:val="auto"/>
          <w:w w:val="99"/>
          <w:kern w:val="0"/>
          <w:sz w:val="28"/>
          <w:szCs w:val="28"/>
          <w:highlight w:val="none"/>
        </w:rPr>
      </w:pPr>
    </w:p>
    <w:p w14:paraId="79BE719B">
      <w:pPr>
        <w:pStyle w:val="6"/>
        <w:spacing w:before="0" w:after="0" w:line="400" w:lineRule="exact"/>
        <w:jc w:val="center"/>
        <w:rPr>
          <w:rFonts w:hint="eastAsia" w:ascii="宋体" w:hAnsi="宋体" w:eastAsia="宋体"/>
          <w:b w:val="0"/>
          <w:color w:val="auto"/>
          <w:highlight w:val="none"/>
          <w:lang w:eastAsia="zh-CN"/>
        </w:rPr>
      </w:pPr>
      <w:bookmarkStart w:id="506" w:name="_Toc277082643"/>
      <w:bookmarkStart w:id="507" w:name="_Toc224103495"/>
      <w:bookmarkStart w:id="508" w:name="_Toc287620814"/>
      <w:bookmarkStart w:id="509" w:name="_Toc534185831"/>
      <w:bookmarkStart w:id="510" w:name="_Toc287607867"/>
      <w:bookmarkStart w:id="511" w:name="_Toc509218854"/>
      <w:bookmarkStart w:id="512" w:name="_Toc430530530"/>
      <w:r>
        <w:rPr>
          <w:rFonts w:ascii="宋体" w:hAnsi="宋体"/>
          <w:color w:val="auto"/>
          <w:highlight w:val="none"/>
        </w:rPr>
        <w:br w:type="page"/>
      </w:r>
      <w:bookmarkStart w:id="513" w:name="_Toc26071"/>
      <w:bookmarkStart w:id="514" w:name="_Toc882"/>
      <w:bookmarkStart w:id="515" w:name="_Toc4019"/>
      <w:r>
        <w:rPr>
          <w:rFonts w:hint="eastAsia"/>
          <w:color w:val="auto"/>
          <w:highlight w:val="none"/>
        </w:rPr>
        <w:t>（一）</w:t>
      </w:r>
      <w:bookmarkEnd w:id="506"/>
      <w:bookmarkEnd w:id="507"/>
      <w:bookmarkEnd w:id="508"/>
      <w:bookmarkEnd w:id="509"/>
      <w:bookmarkEnd w:id="510"/>
      <w:bookmarkEnd w:id="511"/>
      <w:bookmarkEnd w:id="512"/>
      <w:bookmarkEnd w:id="513"/>
      <w:r>
        <w:rPr>
          <w:rFonts w:hint="eastAsia"/>
          <w:color w:val="auto"/>
          <w:highlight w:val="none"/>
          <w:lang w:eastAsia="zh-CN"/>
        </w:rPr>
        <w:t>竞选函</w:t>
      </w:r>
      <w:bookmarkEnd w:id="514"/>
      <w:bookmarkEnd w:id="515"/>
    </w:p>
    <w:p w14:paraId="6EFCE22A">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6D5C962F">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元/月</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元/月</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作为每月服务费</w:t>
      </w:r>
      <w:r>
        <w:rPr>
          <w:rFonts w:ascii="宋体" w:hAnsi="宋体"/>
          <w:snapToGrid w:val="0"/>
          <w:color w:val="auto"/>
          <w:kern w:val="0"/>
          <w:szCs w:val="21"/>
          <w:highlight w:val="none"/>
        </w:rPr>
        <w:t>进行报价，</w:t>
      </w:r>
      <w:r>
        <w:rPr>
          <w:rFonts w:hint="eastAsia" w:ascii="宋体" w:hAnsi="宋体"/>
          <w:snapToGrid w:val="0"/>
          <w:color w:val="auto"/>
          <w:kern w:val="0"/>
          <w:szCs w:val="21"/>
          <w:highlight w:val="none"/>
          <w:lang w:val="en-US" w:eastAsia="zh-CN"/>
        </w:rPr>
        <w:t>暂定</w:t>
      </w:r>
      <w:r>
        <w:rPr>
          <w:rFonts w:ascii="宋体" w:hAnsi="宋体"/>
          <w:snapToGrid w:val="0"/>
          <w:color w:val="auto"/>
          <w:kern w:val="0"/>
          <w:szCs w:val="21"/>
          <w:highlight w:val="none"/>
        </w:rPr>
        <w:t>的投标总报价</w:t>
      </w:r>
      <w:r>
        <w:rPr>
          <w:rFonts w:hint="eastAsia" w:ascii="宋体" w:hAnsi="宋体"/>
          <w:snapToGrid w:val="0"/>
          <w:color w:val="auto"/>
          <w:kern w:val="0"/>
          <w:szCs w:val="21"/>
          <w:highlight w:val="none"/>
          <w:lang w:val="en-US" w:eastAsia="zh-CN"/>
        </w:rPr>
        <w:t>为</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lang w:val="en-US" w:eastAsia="zh-CN"/>
        </w:rPr>
        <w:t>元，</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服务期</w:t>
      </w:r>
      <w:r>
        <w:rPr>
          <w:rFonts w:hint="eastAsia" w:ascii="宋体" w:hAnsi="宋体"/>
          <w:snapToGrid w:val="0"/>
          <w:color w:val="auto"/>
          <w:kern w:val="0"/>
          <w:szCs w:val="21"/>
          <w:highlight w:val="none"/>
        </w:rPr>
        <w:t>达到招标文件的要求</w:t>
      </w:r>
      <w:r>
        <w:rPr>
          <w:rFonts w:ascii="宋体" w:hAnsi="宋体"/>
          <w:snapToGrid w:val="0"/>
          <w:color w:val="auto"/>
          <w:kern w:val="0"/>
          <w:szCs w:val="21"/>
          <w:highlight w:val="none"/>
        </w:rPr>
        <w:t>，按合同约定实施和完成</w:t>
      </w:r>
      <w:r>
        <w:rPr>
          <w:rFonts w:hint="eastAsia" w:ascii="宋体" w:hAnsi="宋体"/>
          <w:snapToGrid w:val="0"/>
          <w:color w:val="auto"/>
          <w:kern w:val="0"/>
          <w:szCs w:val="21"/>
          <w:highlight w:val="none"/>
          <w:lang w:val="en-US" w:eastAsia="zh-CN"/>
        </w:rPr>
        <w:t>本项目</w:t>
      </w:r>
      <w:r>
        <w:rPr>
          <w:rFonts w:ascii="宋体" w:hAnsi="宋体"/>
          <w:snapToGrid w:val="0"/>
          <w:color w:val="auto"/>
          <w:kern w:val="0"/>
          <w:szCs w:val="21"/>
          <w:highlight w:val="none"/>
        </w:rPr>
        <w:t>，质量达到</w:t>
      </w:r>
      <w:r>
        <w:rPr>
          <w:rFonts w:hint="eastAsia" w:ascii="宋体" w:hAnsi="宋体"/>
          <w:snapToGrid w:val="0"/>
          <w:color w:val="auto"/>
          <w:kern w:val="0"/>
          <w:szCs w:val="21"/>
          <w:highlight w:val="none"/>
        </w:rPr>
        <w:t>招标文件的要求</w:t>
      </w:r>
      <w:r>
        <w:rPr>
          <w:rFonts w:ascii="宋体" w:hAnsi="宋体"/>
          <w:snapToGrid w:val="0"/>
          <w:color w:val="auto"/>
          <w:kern w:val="0"/>
          <w:szCs w:val="21"/>
          <w:highlight w:val="none"/>
        </w:rPr>
        <w:t>。</w:t>
      </w:r>
    </w:p>
    <w:p w14:paraId="01573E29">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13BB9A6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1DEF6A5E">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336A44DE">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递交的</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附录属于合同文件的组成部分。</w:t>
      </w:r>
    </w:p>
    <w:p w14:paraId="5304D25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14:paraId="245EEB96">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6A1136F2">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w:t>
      </w:r>
      <w:r>
        <w:rPr>
          <w:rFonts w:hint="eastAsia" w:ascii="宋体" w:hAnsi="宋体"/>
          <w:snapToGrid w:val="0"/>
          <w:color w:val="auto"/>
          <w:kern w:val="0"/>
          <w:szCs w:val="21"/>
          <w:highlight w:val="none"/>
          <w:lang w:val="en-US" w:eastAsia="zh-CN"/>
        </w:rPr>
        <w:t>五</w:t>
      </w:r>
      <w:r>
        <w:rPr>
          <w:rFonts w:hint="eastAsia" w:ascii="宋体" w:hAnsi="宋体"/>
          <w:snapToGrid w:val="0"/>
          <w:color w:val="auto"/>
          <w:kern w:val="0"/>
          <w:szCs w:val="21"/>
          <w:highlight w:val="none"/>
        </w:rPr>
        <w:t>章 技术标准和要求中所列的技术指标和参数要求完成全部合同工程。</w:t>
      </w:r>
    </w:p>
    <w:p w14:paraId="02E37553">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竞选人</w:t>
      </w:r>
      <w:r>
        <w:rPr>
          <w:rFonts w:ascii="宋体" w:hAnsi="宋体"/>
          <w:snapToGrid w:val="0"/>
          <w:color w:val="auto"/>
          <w:kern w:val="0"/>
          <w:szCs w:val="21"/>
          <w:highlight w:val="none"/>
        </w:rPr>
        <w:t>须知”第 1.4.3 项规定的任何一种情形。同时我方承诺接受招标文件及附件、澄清及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4422DBB9">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1AEA428B">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063C440">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2B7B512E">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EB46DB7">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D27ECD7">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EBA924F">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3670A75">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F305837">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6407E50A">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7181D6AD">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7EF96EC8">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72A30EE8">
      <w:pPr>
        <w:pStyle w:val="6"/>
        <w:jc w:val="center"/>
        <w:rPr>
          <w:rFonts w:ascii="宋体" w:hAnsi="宋体"/>
          <w:b w:val="0"/>
          <w:snapToGrid w:val="0"/>
          <w:color w:val="auto"/>
          <w:kern w:val="0"/>
          <w:sz w:val="30"/>
          <w:szCs w:val="30"/>
          <w:highlight w:val="none"/>
        </w:rPr>
      </w:pPr>
      <w:bookmarkStart w:id="516" w:name="_Toc430530531"/>
      <w:bookmarkStart w:id="517" w:name="_Toc224103496"/>
      <w:bookmarkStart w:id="518" w:name="_Toc277082644"/>
      <w:bookmarkStart w:id="519" w:name="_Toc287620815"/>
      <w:bookmarkStart w:id="520" w:name="_Toc287607868"/>
      <w:r>
        <w:rPr>
          <w:rFonts w:ascii="宋体" w:hAnsi="宋体"/>
          <w:color w:val="auto"/>
          <w:sz w:val="28"/>
          <w:highlight w:val="none"/>
        </w:rPr>
        <w:br w:type="page"/>
      </w:r>
      <w:bookmarkStart w:id="521" w:name="_Toc30967"/>
      <w:bookmarkStart w:id="522" w:name="_Toc534185832"/>
      <w:bookmarkStart w:id="523" w:name="_Toc509218855"/>
      <w:bookmarkStart w:id="524" w:name="_Toc6045"/>
      <w:bookmarkStart w:id="525" w:name="_Toc24965"/>
      <w:r>
        <w:rPr>
          <w:color w:val="auto"/>
          <w:highlight w:val="none"/>
        </w:rPr>
        <w:t>（二）</w:t>
      </w:r>
      <w:bookmarkEnd w:id="516"/>
      <w:bookmarkEnd w:id="517"/>
      <w:bookmarkEnd w:id="518"/>
      <w:bookmarkEnd w:id="519"/>
      <w:bookmarkEnd w:id="520"/>
      <w:bookmarkEnd w:id="521"/>
      <w:bookmarkEnd w:id="522"/>
      <w:bookmarkEnd w:id="523"/>
      <w:bookmarkEnd w:id="524"/>
      <w:bookmarkStart w:id="526" w:name="_Toc430530532"/>
      <w:bookmarkStart w:id="527" w:name="_Toc224103497"/>
      <w:bookmarkStart w:id="528" w:name="_Toc20860"/>
      <w:bookmarkStart w:id="529" w:name="_Toc8650"/>
      <w:bookmarkStart w:id="530" w:name="_Toc277082645"/>
      <w:bookmarkStart w:id="531" w:name="_Toc287607869"/>
      <w:bookmarkStart w:id="532" w:name="_Toc287620816"/>
      <w:r>
        <w:rPr>
          <w:rFonts w:hint="eastAsia"/>
          <w:color w:val="auto"/>
          <w:sz w:val="30"/>
          <w:szCs w:val="30"/>
          <w:highlight w:val="none"/>
        </w:rPr>
        <w:t>法定代表人身份证明或附有法定代表人身份证明的授权委托书</w:t>
      </w:r>
      <w:bookmarkEnd w:id="525"/>
      <w:bookmarkEnd w:id="526"/>
      <w:bookmarkEnd w:id="527"/>
      <w:bookmarkEnd w:id="528"/>
      <w:bookmarkEnd w:id="529"/>
      <w:bookmarkEnd w:id="530"/>
      <w:bookmarkEnd w:id="531"/>
      <w:bookmarkEnd w:id="532"/>
    </w:p>
    <w:p w14:paraId="2E33263A">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D4B9CC4">
      <w:pPr>
        <w:spacing w:line="480" w:lineRule="auto"/>
        <w:jc w:val="center"/>
        <w:rPr>
          <w:rFonts w:ascii="宋体" w:hAnsi="宋体"/>
          <w:color w:val="auto"/>
          <w:highlight w:val="none"/>
        </w:rPr>
      </w:pPr>
    </w:p>
    <w:p w14:paraId="50CC66CB">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A7821D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993484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6C351A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1FA0F07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453CB3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F5E2CAB">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77FC8288">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62E1026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3D77EA27">
      <w:pPr>
        <w:pStyle w:val="20"/>
        <w:spacing w:after="0" w:line="360" w:lineRule="auto"/>
        <w:rPr>
          <w:rFonts w:ascii="宋体" w:hAnsi="宋体"/>
          <w:color w:val="auto"/>
          <w:szCs w:val="21"/>
          <w:highlight w:val="none"/>
        </w:rPr>
      </w:pPr>
    </w:p>
    <w:p w14:paraId="32D9FA4E">
      <w:pPr>
        <w:pStyle w:val="20"/>
        <w:spacing w:after="0" w:line="360" w:lineRule="auto"/>
        <w:rPr>
          <w:rFonts w:ascii="宋体" w:hAnsi="宋体"/>
          <w:color w:val="auto"/>
          <w:szCs w:val="21"/>
          <w:highlight w:val="none"/>
        </w:rPr>
      </w:pPr>
    </w:p>
    <w:p w14:paraId="0F2BF259">
      <w:pPr>
        <w:pStyle w:val="20"/>
        <w:spacing w:after="0" w:line="360" w:lineRule="auto"/>
        <w:rPr>
          <w:rFonts w:ascii="宋体" w:hAnsi="宋体"/>
          <w:color w:val="auto"/>
          <w:szCs w:val="21"/>
          <w:highlight w:val="none"/>
        </w:rPr>
      </w:pPr>
    </w:p>
    <w:p w14:paraId="1F3BC155">
      <w:pPr>
        <w:pStyle w:val="20"/>
        <w:spacing w:after="0" w:line="360" w:lineRule="auto"/>
        <w:rPr>
          <w:rFonts w:ascii="宋体" w:hAnsi="宋体"/>
          <w:color w:val="auto"/>
          <w:szCs w:val="21"/>
          <w:highlight w:val="none"/>
        </w:rPr>
      </w:pPr>
    </w:p>
    <w:p w14:paraId="4879473A">
      <w:pPr>
        <w:pStyle w:val="20"/>
        <w:spacing w:after="0" w:line="360" w:lineRule="auto"/>
        <w:rPr>
          <w:rFonts w:ascii="宋体" w:hAnsi="宋体"/>
          <w:color w:val="auto"/>
          <w:szCs w:val="21"/>
          <w:highlight w:val="none"/>
        </w:rPr>
      </w:pPr>
    </w:p>
    <w:p w14:paraId="09E9873E">
      <w:pPr>
        <w:pStyle w:val="20"/>
        <w:spacing w:after="0" w:line="360" w:lineRule="auto"/>
        <w:rPr>
          <w:rFonts w:ascii="宋体" w:hAnsi="宋体"/>
          <w:color w:val="auto"/>
          <w:szCs w:val="21"/>
          <w:highlight w:val="none"/>
        </w:rPr>
      </w:pPr>
    </w:p>
    <w:p w14:paraId="5A125E5C">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505679E8">
      <w:pPr>
        <w:autoSpaceDE w:val="0"/>
        <w:autoSpaceDN w:val="0"/>
        <w:adjustRightInd w:val="0"/>
        <w:snapToGrid w:val="0"/>
        <w:spacing w:line="480" w:lineRule="auto"/>
        <w:jc w:val="left"/>
        <w:rPr>
          <w:rFonts w:ascii="宋体" w:hAnsi="宋体"/>
          <w:color w:val="auto"/>
          <w:kern w:val="0"/>
          <w:sz w:val="20"/>
          <w:szCs w:val="20"/>
          <w:highlight w:val="none"/>
        </w:rPr>
      </w:pPr>
    </w:p>
    <w:p w14:paraId="477E433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49C8777">
      <w:pPr>
        <w:autoSpaceDE w:val="0"/>
        <w:autoSpaceDN w:val="0"/>
        <w:adjustRightInd w:val="0"/>
        <w:snapToGrid w:val="0"/>
        <w:spacing w:line="360" w:lineRule="auto"/>
        <w:jc w:val="left"/>
        <w:rPr>
          <w:rFonts w:ascii="宋体" w:hAnsi="宋体"/>
          <w:color w:val="auto"/>
          <w:kern w:val="0"/>
          <w:highlight w:val="none"/>
        </w:rPr>
      </w:pPr>
    </w:p>
    <w:p w14:paraId="7C19444F">
      <w:pPr>
        <w:autoSpaceDE w:val="0"/>
        <w:autoSpaceDN w:val="0"/>
        <w:adjustRightInd w:val="0"/>
        <w:snapToGrid w:val="0"/>
        <w:spacing w:line="360" w:lineRule="auto"/>
        <w:jc w:val="left"/>
        <w:rPr>
          <w:rFonts w:ascii="宋体" w:hAnsi="宋体"/>
          <w:color w:val="auto"/>
          <w:kern w:val="0"/>
          <w:highlight w:val="none"/>
        </w:rPr>
      </w:pPr>
    </w:p>
    <w:p w14:paraId="2943534F">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415FE320">
      <w:pPr>
        <w:autoSpaceDE w:val="0"/>
        <w:autoSpaceDN w:val="0"/>
        <w:adjustRightInd w:val="0"/>
        <w:snapToGrid w:val="0"/>
        <w:spacing w:line="360" w:lineRule="auto"/>
        <w:jc w:val="left"/>
        <w:rPr>
          <w:rFonts w:ascii="宋体" w:hAnsi="宋体"/>
          <w:color w:val="auto"/>
          <w:kern w:val="0"/>
          <w:highlight w:val="none"/>
        </w:rPr>
      </w:pPr>
    </w:p>
    <w:p w14:paraId="3C406D99">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27350EB">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657B2A4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145606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6D0B2B2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5D8AAA2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372B4E8">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4BA8828">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BBED53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39AE30D0">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04EE50E">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3A8DD472">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1ABB826">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4632EDA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5209F6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80E533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66C335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1BD275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9471DE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E3EAB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82851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08839B5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59A1EDC5">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7DA6E836">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一并递交。另外须准备一份授权委托书原件在开标现场出具。</w:t>
      </w:r>
    </w:p>
    <w:p w14:paraId="2D468F65">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0129B04">
      <w:pPr>
        <w:spacing w:line="360" w:lineRule="auto"/>
        <w:ind w:firstLine="420" w:firstLineChars="200"/>
        <w:rPr>
          <w:rFonts w:ascii="宋体" w:hAnsi="宋体"/>
          <w:color w:val="auto"/>
          <w:highlight w:val="none"/>
        </w:rPr>
      </w:pPr>
      <w:r>
        <w:rPr>
          <w:rFonts w:ascii="宋体" w:hAnsi="宋体"/>
          <w:color w:val="auto"/>
          <w:highlight w:val="none"/>
        </w:rPr>
        <w:br w:type="page"/>
      </w:r>
      <w:bookmarkStart w:id="533" w:name="_Toc430530534"/>
      <w:bookmarkStart w:id="534" w:name="_Toc287607872"/>
      <w:bookmarkStart w:id="535" w:name="_Toc287620819"/>
      <w:bookmarkStart w:id="536" w:name="_Toc224103500"/>
    </w:p>
    <w:bookmarkEnd w:id="533"/>
    <w:bookmarkEnd w:id="534"/>
    <w:bookmarkEnd w:id="535"/>
    <w:bookmarkEnd w:id="536"/>
    <w:p w14:paraId="556D19E5">
      <w:pPr>
        <w:pStyle w:val="6"/>
        <w:spacing w:before="0" w:line="240" w:lineRule="auto"/>
        <w:jc w:val="center"/>
        <w:rPr>
          <w:rFonts w:ascii="宋体" w:hAnsi="宋体"/>
          <w:b w:val="0"/>
          <w:color w:val="auto"/>
          <w:highlight w:val="none"/>
        </w:rPr>
      </w:pPr>
      <w:bookmarkStart w:id="537" w:name="_Toc224103515"/>
      <w:bookmarkStart w:id="538" w:name="_Toc20337"/>
      <w:bookmarkStart w:id="539" w:name="_Toc430530552"/>
      <w:bookmarkStart w:id="540" w:name="_Toc287607893"/>
      <w:bookmarkStart w:id="541" w:name="_Toc287620839"/>
      <w:bookmarkStart w:id="542" w:name="_Toc430530550"/>
      <w:bookmarkStart w:id="543" w:name="_Toc534185841"/>
      <w:bookmarkStart w:id="544" w:name="_Toc277082660"/>
      <w:bookmarkStart w:id="545" w:name="_Toc287620834"/>
      <w:bookmarkStart w:id="546" w:name="_Toc287607888"/>
      <w:bookmarkStart w:id="547" w:name="_Toc509218864"/>
      <w:bookmarkStart w:id="548" w:name="_Toc224103520"/>
      <w:bookmarkStart w:id="549" w:name="_Toc277082663"/>
      <w:bookmarkStart w:id="550" w:name="_Toc316"/>
      <w:bookmarkStart w:id="551" w:name="_Toc509218866"/>
      <w:bookmarkStart w:id="552" w:name="_Toc534185843"/>
      <w:r>
        <w:rPr>
          <w:rFonts w:hint="eastAsia" w:ascii="宋体" w:hAnsi="宋体"/>
          <w:b w:val="0"/>
          <w:color w:val="auto"/>
          <w:highlight w:val="none"/>
        </w:rPr>
        <w:t>（</w:t>
      </w:r>
      <w:r>
        <w:rPr>
          <w:rFonts w:hint="eastAsia" w:ascii="宋体" w:hAnsi="宋体"/>
          <w:b w:val="0"/>
          <w:color w:val="auto"/>
          <w:highlight w:val="none"/>
          <w:lang w:val="en-US" w:eastAsia="zh-CN"/>
        </w:rPr>
        <w:t>三</w:t>
      </w:r>
      <w:r>
        <w:rPr>
          <w:rFonts w:hint="eastAsia" w:ascii="宋体" w:hAnsi="宋体"/>
          <w:b w:val="0"/>
          <w:color w:val="auto"/>
          <w:highlight w:val="none"/>
        </w:rPr>
        <w:t>）</w:t>
      </w:r>
      <w:bookmarkEnd w:id="537"/>
      <w:bookmarkEnd w:id="538"/>
      <w:bookmarkEnd w:id="539"/>
      <w:bookmarkEnd w:id="540"/>
      <w:bookmarkEnd w:id="541"/>
      <w:bookmarkEnd w:id="542"/>
      <w:bookmarkEnd w:id="543"/>
      <w:bookmarkEnd w:id="544"/>
      <w:bookmarkEnd w:id="545"/>
      <w:bookmarkEnd w:id="546"/>
      <w:bookmarkEnd w:id="547"/>
      <w:bookmarkEnd w:id="548"/>
      <w:bookmarkEnd w:id="549"/>
      <w:bookmarkStart w:id="553" w:name="_Toc3019"/>
      <w:bookmarkStart w:id="554" w:name="_Toc534185842"/>
      <w:bookmarkStart w:id="555" w:name="_Toc509218865"/>
      <w:r>
        <w:rPr>
          <w:rFonts w:ascii="宋体" w:hAnsi="宋体"/>
          <w:b w:val="0"/>
          <w:color w:val="auto"/>
          <w:highlight w:val="none"/>
        </w:rPr>
        <w:t>类似项目情况表</w:t>
      </w:r>
      <w:bookmarkEnd w:id="550"/>
      <w:bookmarkEnd w:id="553"/>
      <w:bookmarkEnd w:id="554"/>
      <w:bookmarkEnd w:id="555"/>
    </w:p>
    <w:tbl>
      <w:tblPr>
        <w:tblStyle w:val="48"/>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679D7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723DE84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14:paraId="797B953C">
            <w:pPr>
              <w:autoSpaceDE w:val="0"/>
              <w:autoSpaceDN w:val="0"/>
              <w:adjustRightInd w:val="0"/>
              <w:snapToGrid w:val="0"/>
              <w:jc w:val="center"/>
              <w:rPr>
                <w:rFonts w:ascii="宋体" w:hAnsi="宋体"/>
                <w:color w:val="auto"/>
                <w:kern w:val="0"/>
                <w:szCs w:val="21"/>
                <w:highlight w:val="none"/>
              </w:rPr>
            </w:pPr>
          </w:p>
        </w:tc>
      </w:tr>
      <w:tr w14:paraId="1BA14D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48F154E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14:paraId="6D0C7773">
            <w:pPr>
              <w:autoSpaceDE w:val="0"/>
              <w:autoSpaceDN w:val="0"/>
              <w:adjustRightInd w:val="0"/>
              <w:snapToGrid w:val="0"/>
              <w:jc w:val="center"/>
              <w:rPr>
                <w:rFonts w:ascii="宋体" w:hAnsi="宋体"/>
                <w:color w:val="auto"/>
                <w:kern w:val="0"/>
                <w:szCs w:val="21"/>
                <w:highlight w:val="none"/>
              </w:rPr>
            </w:pPr>
          </w:p>
        </w:tc>
      </w:tr>
      <w:tr w14:paraId="64CB2B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4FD2EB0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14:paraId="58CA03E6">
            <w:pPr>
              <w:autoSpaceDE w:val="0"/>
              <w:autoSpaceDN w:val="0"/>
              <w:adjustRightInd w:val="0"/>
              <w:snapToGrid w:val="0"/>
              <w:jc w:val="center"/>
              <w:rPr>
                <w:rFonts w:ascii="宋体" w:hAnsi="宋体"/>
                <w:color w:val="auto"/>
                <w:kern w:val="0"/>
                <w:szCs w:val="21"/>
                <w:highlight w:val="none"/>
              </w:rPr>
            </w:pPr>
          </w:p>
        </w:tc>
      </w:tr>
      <w:tr w14:paraId="2A5E89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79131EE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14:paraId="0BB653C0">
            <w:pPr>
              <w:autoSpaceDE w:val="0"/>
              <w:autoSpaceDN w:val="0"/>
              <w:adjustRightInd w:val="0"/>
              <w:snapToGrid w:val="0"/>
              <w:jc w:val="center"/>
              <w:rPr>
                <w:rFonts w:ascii="宋体" w:hAnsi="宋体"/>
                <w:color w:val="auto"/>
                <w:kern w:val="0"/>
                <w:szCs w:val="21"/>
                <w:highlight w:val="none"/>
              </w:rPr>
            </w:pPr>
          </w:p>
        </w:tc>
      </w:tr>
      <w:tr w14:paraId="13D845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5A27CF0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14:paraId="4641E447">
            <w:pPr>
              <w:autoSpaceDE w:val="0"/>
              <w:autoSpaceDN w:val="0"/>
              <w:adjustRightInd w:val="0"/>
              <w:snapToGrid w:val="0"/>
              <w:jc w:val="center"/>
              <w:rPr>
                <w:rFonts w:ascii="宋体" w:hAnsi="宋体"/>
                <w:color w:val="auto"/>
                <w:kern w:val="0"/>
                <w:szCs w:val="21"/>
                <w:highlight w:val="none"/>
              </w:rPr>
            </w:pPr>
          </w:p>
        </w:tc>
      </w:tr>
      <w:tr w14:paraId="608944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1C9B2A1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14:paraId="3DC03944">
            <w:pPr>
              <w:autoSpaceDE w:val="0"/>
              <w:autoSpaceDN w:val="0"/>
              <w:adjustRightInd w:val="0"/>
              <w:snapToGrid w:val="0"/>
              <w:jc w:val="center"/>
              <w:rPr>
                <w:rFonts w:ascii="宋体" w:hAnsi="宋体"/>
                <w:color w:val="auto"/>
                <w:kern w:val="0"/>
                <w:szCs w:val="21"/>
                <w:highlight w:val="none"/>
              </w:rPr>
            </w:pPr>
          </w:p>
        </w:tc>
      </w:tr>
      <w:tr w14:paraId="5F9F8E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219444D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14:paraId="0CE35F13">
            <w:pPr>
              <w:autoSpaceDE w:val="0"/>
              <w:autoSpaceDN w:val="0"/>
              <w:adjustRightInd w:val="0"/>
              <w:snapToGrid w:val="0"/>
              <w:jc w:val="center"/>
              <w:rPr>
                <w:rFonts w:ascii="宋体" w:hAnsi="宋体"/>
                <w:color w:val="auto"/>
                <w:kern w:val="0"/>
                <w:szCs w:val="21"/>
                <w:highlight w:val="none"/>
              </w:rPr>
            </w:pPr>
          </w:p>
        </w:tc>
      </w:tr>
      <w:tr w14:paraId="387172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5E88934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14:paraId="59D78860">
            <w:pPr>
              <w:autoSpaceDE w:val="0"/>
              <w:autoSpaceDN w:val="0"/>
              <w:adjustRightInd w:val="0"/>
              <w:snapToGrid w:val="0"/>
              <w:jc w:val="center"/>
              <w:rPr>
                <w:rFonts w:ascii="宋体" w:hAnsi="宋体"/>
                <w:color w:val="auto"/>
                <w:kern w:val="0"/>
                <w:szCs w:val="21"/>
                <w:highlight w:val="none"/>
              </w:rPr>
            </w:pPr>
          </w:p>
        </w:tc>
      </w:tr>
      <w:tr w14:paraId="338076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230C596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14:paraId="05D20BCB">
            <w:pPr>
              <w:autoSpaceDE w:val="0"/>
              <w:autoSpaceDN w:val="0"/>
              <w:adjustRightInd w:val="0"/>
              <w:snapToGrid w:val="0"/>
              <w:jc w:val="center"/>
              <w:rPr>
                <w:rFonts w:ascii="宋体" w:hAnsi="宋体"/>
                <w:color w:val="auto"/>
                <w:kern w:val="0"/>
                <w:szCs w:val="21"/>
                <w:highlight w:val="none"/>
              </w:rPr>
            </w:pPr>
          </w:p>
        </w:tc>
      </w:tr>
      <w:tr w14:paraId="249F8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17EAC7C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14:paraId="50B934C5">
            <w:pPr>
              <w:autoSpaceDE w:val="0"/>
              <w:autoSpaceDN w:val="0"/>
              <w:adjustRightInd w:val="0"/>
              <w:snapToGrid w:val="0"/>
              <w:jc w:val="center"/>
              <w:rPr>
                <w:rFonts w:ascii="宋体" w:hAnsi="宋体"/>
                <w:color w:val="auto"/>
                <w:kern w:val="0"/>
                <w:szCs w:val="21"/>
                <w:highlight w:val="none"/>
              </w:rPr>
            </w:pPr>
          </w:p>
        </w:tc>
      </w:tr>
    </w:tbl>
    <w:p w14:paraId="33F38D7D">
      <w:pPr>
        <w:rPr>
          <w:rFonts w:ascii="宋体" w:hAnsi="宋体"/>
          <w:color w:val="auto"/>
          <w:highlight w:val="none"/>
        </w:rPr>
      </w:pPr>
      <w:r>
        <w:rPr>
          <w:rFonts w:ascii="宋体" w:hAnsi="宋体"/>
          <w:color w:val="auto"/>
          <w:highlight w:val="none"/>
        </w:rPr>
        <w:br w:type="page"/>
      </w:r>
    </w:p>
    <w:p w14:paraId="5F359DF7">
      <w:pPr>
        <w:pStyle w:val="6"/>
        <w:spacing w:before="0" w:after="0" w:line="360" w:lineRule="auto"/>
        <w:jc w:val="center"/>
        <w:rPr>
          <w:rFonts w:ascii="宋体" w:hAnsi="宋体"/>
          <w:b w:val="0"/>
          <w:color w:val="auto"/>
          <w:highlight w:val="none"/>
        </w:rPr>
      </w:pPr>
      <w:bookmarkStart w:id="556" w:name="_Toc30136"/>
      <w:bookmarkStart w:id="557" w:name="_Toc11964"/>
      <w:r>
        <w:rPr>
          <w:rFonts w:ascii="宋体" w:hAnsi="宋体"/>
          <w:b w:val="0"/>
          <w:color w:val="auto"/>
          <w:highlight w:val="none"/>
        </w:rPr>
        <w:t>（</w:t>
      </w:r>
      <w:r>
        <w:rPr>
          <w:rFonts w:hint="eastAsia" w:ascii="宋体" w:hAnsi="宋体"/>
          <w:b w:val="0"/>
          <w:color w:val="auto"/>
          <w:highlight w:val="none"/>
          <w:lang w:val="en-US" w:eastAsia="zh-CN"/>
        </w:rPr>
        <w:t>四</w:t>
      </w:r>
      <w:r>
        <w:rPr>
          <w:rFonts w:ascii="宋体" w:hAnsi="宋体"/>
          <w:b w:val="0"/>
          <w:color w:val="auto"/>
          <w:highlight w:val="none"/>
        </w:rPr>
        <w:t>）</w:t>
      </w:r>
      <w:r>
        <w:rPr>
          <w:rFonts w:hint="eastAsia" w:ascii="宋体" w:hAnsi="宋体"/>
          <w:b w:val="0"/>
          <w:color w:val="auto"/>
          <w:highlight w:val="none"/>
        </w:rPr>
        <w:t>承诺</w:t>
      </w:r>
      <w:bookmarkEnd w:id="556"/>
      <w:bookmarkEnd w:id="557"/>
    </w:p>
    <w:p w14:paraId="5DAE6A22">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0FBE8E6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竞选</w:t>
      </w:r>
      <w:r>
        <w:rPr>
          <w:rFonts w:hint="eastAsia" w:ascii="宋体" w:hAnsi="宋体"/>
          <w:color w:val="auto"/>
          <w:szCs w:val="21"/>
          <w:highlight w:val="none"/>
          <w:u w:val="single"/>
        </w:rPr>
        <w:t>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0243593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46C80882">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2288D5E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（2）被“信用中国”网站(www.creditchina.gov.cn) 列为失信被 执行人；</w:t>
      </w:r>
    </w:p>
    <w:p w14:paraId="1881CC3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（3）被国家、重庆市（含市或任意区县）有关行政部门处以暂停投标资格行政处罚，且在处罚期限内；</w:t>
      </w:r>
    </w:p>
    <w:p w14:paraId="0E405F1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017BCC7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07A2F30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、我公司不存在第二章 投标人须知第 1.4.3 项规定的任何一种情形。</w:t>
      </w:r>
    </w:p>
    <w:p w14:paraId="7DBA99D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、我公司的投标文件符合第二章 投标人须知第 1.3.1 项的规定。</w:t>
      </w:r>
    </w:p>
    <w:p w14:paraId="151C780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770C1AF8">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、我公司的投标文件符合第</w:t>
      </w:r>
      <w:r>
        <w:rPr>
          <w:rFonts w:hint="eastAsia" w:ascii="宋体" w:hAnsi="宋体"/>
          <w:color w:val="auto"/>
          <w:szCs w:val="21"/>
          <w:highlight w:val="none"/>
          <w:lang w:val="en-US" w:eastAsia="zh-CN"/>
        </w:rPr>
        <w:t>五</w:t>
      </w:r>
      <w:r>
        <w:rPr>
          <w:rFonts w:hint="eastAsia" w:ascii="宋体" w:hAnsi="宋体"/>
          <w:color w:val="auto"/>
          <w:szCs w:val="21"/>
          <w:highlight w:val="none"/>
        </w:rPr>
        <w:t>章 技术标准和要求（如有）。</w:t>
      </w:r>
    </w:p>
    <w:p w14:paraId="35865130">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551"/>
    <w:bookmarkEnd w:id="552"/>
    <w:p w14:paraId="2D3D3F7C">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  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7ED40F4">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DF73959">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2679078D">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374166AF">
      <w:pPr>
        <w:rPr>
          <w:color w:val="auto"/>
          <w:highlight w:val="none"/>
        </w:rPr>
      </w:pPr>
      <w:r>
        <w:rPr>
          <w:color w:val="auto"/>
          <w:highlight w:val="none"/>
        </w:rPr>
        <w:br w:type="page"/>
      </w:r>
    </w:p>
    <w:p w14:paraId="4EE0B913">
      <w:pPr>
        <w:pStyle w:val="6"/>
        <w:numPr>
          <w:ilvl w:val="0"/>
          <w:numId w:val="0"/>
        </w:numPr>
        <w:spacing w:before="0" w:line="360" w:lineRule="auto"/>
        <w:jc w:val="center"/>
        <w:rPr>
          <w:rFonts w:hint="eastAsia" w:ascii="宋体" w:hAnsi="宋体"/>
          <w:b w:val="0"/>
          <w:color w:val="auto"/>
          <w:highlight w:val="none"/>
          <w:lang w:val="en-US" w:eastAsia="zh-CN"/>
        </w:rPr>
      </w:pPr>
      <w:bookmarkStart w:id="558" w:name="_Toc17679"/>
      <w:bookmarkStart w:id="559" w:name="_Toc25182"/>
      <w:r>
        <w:rPr>
          <w:rFonts w:hint="eastAsia" w:ascii="宋体" w:hAnsi="宋体"/>
          <w:b w:val="0"/>
          <w:color w:val="auto"/>
          <w:highlight w:val="none"/>
          <w:lang w:val="en-US" w:eastAsia="zh-CN"/>
        </w:rPr>
        <w:t>（五）技术方案</w:t>
      </w:r>
      <w:bookmarkEnd w:id="558"/>
    </w:p>
    <w:p w14:paraId="3FAF0927">
      <w:pPr>
        <w:numPr>
          <w:ilvl w:val="0"/>
          <w:numId w:val="0"/>
        </w:numPr>
        <w:jc w:val="center"/>
        <w:rPr>
          <w:rFonts w:hint="eastAsia"/>
          <w:color w:val="auto"/>
          <w:highlight w:val="none"/>
          <w:lang w:val="en-US" w:eastAsia="zh-CN"/>
        </w:rPr>
      </w:pPr>
      <w:r>
        <w:rPr>
          <w:rFonts w:hint="eastAsia"/>
          <w:color w:val="auto"/>
          <w:highlight w:val="none"/>
          <w:lang w:val="en-US" w:eastAsia="zh-CN"/>
        </w:rPr>
        <w:t>（格式自拟）</w:t>
      </w:r>
    </w:p>
    <w:p w14:paraId="2F2D0385">
      <w:pPr>
        <w:rPr>
          <w:rFonts w:hint="eastAsia" w:ascii="宋体" w:hAnsi="宋体"/>
          <w:b w:val="0"/>
          <w:color w:val="auto"/>
          <w:highlight w:val="none"/>
          <w:lang w:val="en-US" w:eastAsia="zh-CN"/>
        </w:rPr>
      </w:pPr>
      <w:r>
        <w:rPr>
          <w:rFonts w:hint="eastAsia" w:ascii="宋体" w:hAnsi="宋体"/>
          <w:b w:val="0"/>
          <w:color w:val="auto"/>
          <w:highlight w:val="none"/>
          <w:lang w:val="en-US" w:eastAsia="zh-CN"/>
        </w:rPr>
        <w:br w:type="page"/>
      </w:r>
    </w:p>
    <w:p w14:paraId="45790E1F">
      <w:pPr>
        <w:pStyle w:val="6"/>
        <w:spacing w:before="0" w:line="360" w:lineRule="auto"/>
        <w:jc w:val="center"/>
        <w:rPr>
          <w:rFonts w:ascii="宋体" w:hAnsi="宋体"/>
          <w:b/>
          <w:color w:val="auto"/>
          <w:highlight w:val="none"/>
        </w:rPr>
      </w:pPr>
      <w:bookmarkStart w:id="560" w:name="_Toc11543"/>
      <w:r>
        <w:rPr>
          <w:rFonts w:hint="eastAsia" w:ascii="宋体" w:hAnsi="宋体"/>
          <w:b w:val="0"/>
          <w:color w:val="auto"/>
          <w:highlight w:val="none"/>
        </w:rPr>
        <w:t>（</w:t>
      </w:r>
      <w:r>
        <w:rPr>
          <w:rFonts w:hint="eastAsia" w:ascii="宋体" w:hAnsi="宋体"/>
          <w:b w:val="0"/>
          <w:color w:val="auto"/>
          <w:highlight w:val="none"/>
          <w:lang w:val="en-US" w:eastAsia="zh-CN"/>
        </w:rPr>
        <w:t>六</w:t>
      </w:r>
      <w:r>
        <w:rPr>
          <w:rFonts w:hint="eastAsia" w:ascii="宋体" w:hAnsi="宋体"/>
          <w:b w:val="0"/>
          <w:color w:val="auto"/>
          <w:highlight w:val="none"/>
        </w:rPr>
        <w:t>）其他资料</w:t>
      </w:r>
      <w:bookmarkEnd w:id="467"/>
      <w:bookmarkEnd w:id="468"/>
      <w:bookmarkEnd w:id="469"/>
      <w:bookmarkEnd w:id="559"/>
      <w:bookmarkEnd w:id="560"/>
    </w:p>
    <w:sectPr>
      <w:footerReference r:id="rId8"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607DC9E-D310-4215-BEE1-8AE8AC594D28}"/>
  </w:font>
  <w:font w:name="黑体">
    <w:panose1 w:val="02010609060101010101"/>
    <w:charset w:val="86"/>
    <w:family w:val="auto"/>
    <w:pitch w:val="default"/>
    <w:sig w:usb0="800002BF" w:usb1="38CF7CFA" w:usb2="00000016" w:usb3="00000000" w:csb0="00040001" w:csb1="00000000"/>
    <w:embedRegular r:id="rId2" w:fontKey="{F6BB1BF9-405A-4D2E-A0BB-302F53E85B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embedRegular r:id="rId3" w:fontKey="{DB5D108C-BB7A-48C4-B839-2A01D4E5077D}"/>
  </w:font>
  <w:font w:name="仿宋">
    <w:panose1 w:val="02010609060101010101"/>
    <w:charset w:val="86"/>
    <w:family w:val="auto"/>
    <w:pitch w:val="default"/>
    <w:sig w:usb0="800002BF" w:usb1="38CF7CFA" w:usb2="00000016" w:usb3="00000000" w:csb0="00040001" w:csb1="00000000"/>
    <w:embedRegular r:id="rId4" w:fontKey="{4C594705-1336-416E-958E-C932D6D0935C}"/>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ingfang sc">
    <w:altName w:val="宋体"/>
    <w:panose1 w:val="020B0400000000000000"/>
    <w:charset w:val="86"/>
    <w:family w:val="auto"/>
    <w:pitch w:val="default"/>
    <w:sig w:usb0="00000000" w:usb1="00000000" w:usb2="00000017" w:usb3="00000000" w:csb0="00040001" w:csb1="00000000"/>
  </w:font>
  <w:font w:name="方正公文小标宋">
    <w:panose1 w:val="02000500000000000000"/>
    <w:charset w:val="86"/>
    <w:family w:val="auto"/>
    <w:pitch w:val="default"/>
    <w:sig w:usb0="A00002BF" w:usb1="38CF7CFA" w:usb2="00000016" w:usb3="00000000" w:csb0="00040001" w:csb1="00000000"/>
    <w:embedRegular r:id="rId5" w:fontKey="{CE1DA307-A8A0-4826-BDE7-7EEE6B2A0A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2C307">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4579">
    <w:pPr>
      <w:pStyle w:val="31"/>
      <w:framePr w:wrap="around" w:vAnchor="text" w:hAnchor="margin" w:xAlign="center" w:y="1"/>
      <w:rPr>
        <w:rStyle w:val="53"/>
      </w:rPr>
    </w:pPr>
    <w:r>
      <w:fldChar w:fldCharType="begin"/>
    </w:r>
    <w:r>
      <w:rPr>
        <w:rStyle w:val="53"/>
      </w:rPr>
      <w:instrText xml:space="preserve">PAGE  </w:instrText>
    </w:r>
    <w:r>
      <w:fldChar w:fldCharType="separate"/>
    </w:r>
    <w:r>
      <w:rPr>
        <w:rStyle w:val="53"/>
      </w:rPr>
      <w:t>- 3 -</w:t>
    </w:r>
    <w:r>
      <w:fldChar w:fldCharType="end"/>
    </w:r>
  </w:p>
  <w:p w14:paraId="191239B3">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D911F">
    <w:pPr>
      <w:pStyle w:val="31"/>
      <w:jc w:val="center"/>
    </w:pPr>
    <w:r>
      <w:fldChar w:fldCharType="begin"/>
    </w:r>
    <w:r>
      <w:instrText xml:space="preserve">PAGE   \* MERGEFORMAT</w:instrText>
    </w:r>
    <w:r>
      <w:fldChar w:fldCharType="separate"/>
    </w:r>
    <w:r>
      <w:rPr>
        <w:lang w:val="zh-CN"/>
      </w:rPr>
      <w:t>2</w:t>
    </w:r>
    <w:r>
      <w:fldChar w:fldCharType="end"/>
    </w:r>
  </w:p>
  <w:p w14:paraId="7CBBEBBB">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CE1F">
    <w:pPr>
      <w:pStyle w:val="31"/>
    </w:pPr>
  </w:p>
  <w:p w14:paraId="166DFA20">
    <w:pPr>
      <w:pStyle w:val="3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11277B">
                          <w:pPr>
                            <w:pStyle w:val="3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14:paraId="1611277B">
                    <w:pPr>
                      <w:pStyle w:val="3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CC5EF">
    <w:pPr>
      <w:pStyle w:val="31"/>
      <w:jc w:val="center"/>
    </w:pPr>
    <w:r>
      <w:t xml:space="preserve">- </w:t>
    </w:r>
    <w:r>
      <w:fldChar w:fldCharType="begin"/>
    </w:r>
    <w:r>
      <w:instrText xml:space="preserve"> PAGE </w:instrText>
    </w:r>
    <w:r>
      <w:fldChar w:fldCharType="separate"/>
    </w:r>
    <w:r>
      <w:t>243</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4A121">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9376B"/>
    <w:multiLevelType w:val="singleLevel"/>
    <w:tmpl w:val="FE29376B"/>
    <w:lvl w:ilvl="0" w:tentative="0">
      <w:start w:val="1"/>
      <w:numFmt w:val="decimal"/>
      <w:lvlText w:val="%1."/>
      <w:lvlJc w:val="left"/>
      <w:pPr>
        <w:tabs>
          <w:tab w:val="left" w:pos="312"/>
        </w:tabs>
      </w:p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1BAE28EA"/>
    <w:multiLevelType w:val="multilevel"/>
    <w:tmpl w:val="1BAE28EA"/>
    <w:lvl w:ilvl="0" w:tentative="0">
      <w:start w:val="1"/>
      <w:numFmt w:val="decimal"/>
      <w:lvlText w:val="%1."/>
      <w:lvlJc w:val="left"/>
      <w:pPr>
        <w:ind w:left="840" w:hanging="360"/>
      </w:pPr>
      <w:rPr>
        <w:rFonts w:hint="default" w:ascii="宋体" w:hAnsi="宋体" w:eastAsia="宋体" w:cs="Times New Roman"/>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1A05E05"/>
    <w:multiLevelType w:val="multilevel"/>
    <w:tmpl w:val="41A05E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iOGM4MTAwMTg3NjFkYTFmMjZhMmEwZWQwM2ZiZTYifQ=="/>
  </w:docVars>
  <w:rsids>
    <w:rsidRoot w:val="00000000"/>
    <w:rsid w:val="00032DC5"/>
    <w:rsid w:val="004D7E24"/>
    <w:rsid w:val="005101CE"/>
    <w:rsid w:val="005D2854"/>
    <w:rsid w:val="00B85CAF"/>
    <w:rsid w:val="00BA3803"/>
    <w:rsid w:val="00C671DB"/>
    <w:rsid w:val="01750EDE"/>
    <w:rsid w:val="01E925F2"/>
    <w:rsid w:val="01F91143"/>
    <w:rsid w:val="020250A8"/>
    <w:rsid w:val="022226F1"/>
    <w:rsid w:val="023C235A"/>
    <w:rsid w:val="0241242E"/>
    <w:rsid w:val="02497534"/>
    <w:rsid w:val="02581525"/>
    <w:rsid w:val="025832D3"/>
    <w:rsid w:val="02804BE3"/>
    <w:rsid w:val="029C3B08"/>
    <w:rsid w:val="02CB3070"/>
    <w:rsid w:val="02DD1A2B"/>
    <w:rsid w:val="03280EF8"/>
    <w:rsid w:val="0348159A"/>
    <w:rsid w:val="03505229"/>
    <w:rsid w:val="03604B36"/>
    <w:rsid w:val="03712D21"/>
    <w:rsid w:val="039E635A"/>
    <w:rsid w:val="03AD472C"/>
    <w:rsid w:val="04082AD7"/>
    <w:rsid w:val="04325AC8"/>
    <w:rsid w:val="043C1EA8"/>
    <w:rsid w:val="04BA473A"/>
    <w:rsid w:val="05151950"/>
    <w:rsid w:val="0522236A"/>
    <w:rsid w:val="055D6A85"/>
    <w:rsid w:val="057364D8"/>
    <w:rsid w:val="05D14557"/>
    <w:rsid w:val="05D340EA"/>
    <w:rsid w:val="05FE2133"/>
    <w:rsid w:val="05FE7CAD"/>
    <w:rsid w:val="061B4D44"/>
    <w:rsid w:val="069541C7"/>
    <w:rsid w:val="06A44E95"/>
    <w:rsid w:val="06B30E1D"/>
    <w:rsid w:val="07146850"/>
    <w:rsid w:val="07163C30"/>
    <w:rsid w:val="07222102"/>
    <w:rsid w:val="0747316B"/>
    <w:rsid w:val="07487DBA"/>
    <w:rsid w:val="074B228B"/>
    <w:rsid w:val="07634BF4"/>
    <w:rsid w:val="07672E8A"/>
    <w:rsid w:val="0767768E"/>
    <w:rsid w:val="07AB6459"/>
    <w:rsid w:val="07BC1031"/>
    <w:rsid w:val="080737D2"/>
    <w:rsid w:val="080B547D"/>
    <w:rsid w:val="08274BDD"/>
    <w:rsid w:val="0831084F"/>
    <w:rsid w:val="086F75C9"/>
    <w:rsid w:val="08C25591"/>
    <w:rsid w:val="08CD594E"/>
    <w:rsid w:val="092D606A"/>
    <w:rsid w:val="09ED536B"/>
    <w:rsid w:val="0A2543E3"/>
    <w:rsid w:val="0A3035BA"/>
    <w:rsid w:val="0A375EC4"/>
    <w:rsid w:val="0A4E56B3"/>
    <w:rsid w:val="0A7144F7"/>
    <w:rsid w:val="0A797225"/>
    <w:rsid w:val="0A83110A"/>
    <w:rsid w:val="0A984D5C"/>
    <w:rsid w:val="0AB03C7C"/>
    <w:rsid w:val="0AC97F37"/>
    <w:rsid w:val="0AD33E3F"/>
    <w:rsid w:val="0AE65BC8"/>
    <w:rsid w:val="0B0E42E3"/>
    <w:rsid w:val="0B374AB7"/>
    <w:rsid w:val="0B8A12CF"/>
    <w:rsid w:val="0BE278D7"/>
    <w:rsid w:val="0C293F7E"/>
    <w:rsid w:val="0C2D2A4E"/>
    <w:rsid w:val="0C9674DF"/>
    <w:rsid w:val="0D4D71AD"/>
    <w:rsid w:val="0D865199"/>
    <w:rsid w:val="0DAE5500"/>
    <w:rsid w:val="0DBF06AB"/>
    <w:rsid w:val="0DEA7073"/>
    <w:rsid w:val="0E091442"/>
    <w:rsid w:val="0E3D2AE0"/>
    <w:rsid w:val="0E4017EB"/>
    <w:rsid w:val="0E7616B1"/>
    <w:rsid w:val="0E8813E4"/>
    <w:rsid w:val="0E903981"/>
    <w:rsid w:val="0EA855E3"/>
    <w:rsid w:val="0EE06B2A"/>
    <w:rsid w:val="0F02347C"/>
    <w:rsid w:val="0F0D215C"/>
    <w:rsid w:val="0F2E788D"/>
    <w:rsid w:val="0F3118B1"/>
    <w:rsid w:val="0FB104C7"/>
    <w:rsid w:val="0FE16FFE"/>
    <w:rsid w:val="0FED2443"/>
    <w:rsid w:val="101141D0"/>
    <w:rsid w:val="102C328E"/>
    <w:rsid w:val="10341683"/>
    <w:rsid w:val="104B4477"/>
    <w:rsid w:val="10703EDE"/>
    <w:rsid w:val="108160EB"/>
    <w:rsid w:val="108654B0"/>
    <w:rsid w:val="108C5B45"/>
    <w:rsid w:val="109E6278"/>
    <w:rsid w:val="10CC1442"/>
    <w:rsid w:val="112278CE"/>
    <w:rsid w:val="11292A0B"/>
    <w:rsid w:val="11335637"/>
    <w:rsid w:val="114C04A7"/>
    <w:rsid w:val="11747428"/>
    <w:rsid w:val="11B642AD"/>
    <w:rsid w:val="11B76E7E"/>
    <w:rsid w:val="11CE71F6"/>
    <w:rsid w:val="122F69BB"/>
    <w:rsid w:val="127C4DBC"/>
    <w:rsid w:val="12A83E03"/>
    <w:rsid w:val="12F62DC0"/>
    <w:rsid w:val="139D323C"/>
    <w:rsid w:val="13CA799C"/>
    <w:rsid w:val="13CB74DA"/>
    <w:rsid w:val="13E600BD"/>
    <w:rsid w:val="142B25EC"/>
    <w:rsid w:val="146D2C0E"/>
    <w:rsid w:val="14A21959"/>
    <w:rsid w:val="14A51FB8"/>
    <w:rsid w:val="14D64C58"/>
    <w:rsid w:val="14F0383F"/>
    <w:rsid w:val="14FE5F5C"/>
    <w:rsid w:val="155F0AA1"/>
    <w:rsid w:val="158741A4"/>
    <w:rsid w:val="15E129AC"/>
    <w:rsid w:val="15F8488C"/>
    <w:rsid w:val="162E6355"/>
    <w:rsid w:val="1662251B"/>
    <w:rsid w:val="16660FCB"/>
    <w:rsid w:val="166A3BE5"/>
    <w:rsid w:val="169315EF"/>
    <w:rsid w:val="16B43061"/>
    <w:rsid w:val="16F37DA2"/>
    <w:rsid w:val="172508E3"/>
    <w:rsid w:val="17AF79E2"/>
    <w:rsid w:val="17D15BAA"/>
    <w:rsid w:val="17E53404"/>
    <w:rsid w:val="1856573C"/>
    <w:rsid w:val="18AD2173"/>
    <w:rsid w:val="18B708FC"/>
    <w:rsid w:val="19124240"/>
    <w:rsid w:val="193D71F3"/>
    <w:rsid w:val="19453BA6"/>
    <w:rsid w:val="195F7294"/>
    <w:rsid w:val="198F3627"/>
    <w:rsid w:val="199450E1"/>
    <w:rsid w:val="19B968F6"/>
    <w:rsid w:val="1A6920CA"/>
    <w:rsid w:val="1AC3082E"/>
    <w:rsid w:val="1AD00105"/>
    <w:rsid w:val="1ADE4866"/>
    <w:rsid w:val="1AE8673C"/>
    <w:rsid w:val="1AF167D8"/>
    <w:rsid w:val="1B5E7755"/>
    <w:rsid w:val="1B694D12"/>
    <w:rsid w:val="1BB27AA1"/>
    <w:rsid w:val="1BF7155D"/>
    <w:rsid w:val="1C0E117B"/>
    <w:rsid w:val="1C5E5533"/>
    <w:rsid w:val="1C67088B"/>
    <w:rsid w:val="1C8A485F"/>
    <w:rsid w:val="1CAC66AA"/>
    <w:rsid w:val="1CD3692F"/>
    <w:rsid w:val="1D1218AC"/>
    <w:rsid w:val="1D383FD6"/>
    <w:rsid w:val="1D9E2B66"/>
    <w:rsid w:val="1DBC69B5"/>
    <w:rsid w:val="1DD711E3"/>
    <w:rsid w:val="1E086BAA"/>
    <w:rsid w:val="1E197963"/>
    <w:rsid w:val="1EB53B30"/>
    <w:rsid w:val="1EDE58F5"/>
    <w:rsid w:val="1F1E7609"/>
    <w:rsid w:val="1F3D0501"/>
    <w:rsid w:val="1F5B449A"/>
    <w:rsid w:val="1F602B3B"/>
    <w:rsid w:val="1F707A57"/>
    <w:rsid w:val="1FCB7383"/>
    <w:rsid w:val="1FD004F5"/>
    <w:rsid w:val="202820DF"/>
    <w:rsid w:val="20515ADA"/>
    <w:rsid w:val="205B4E2B"/>
    <w:rsid w:val="208F4C4A"/>
    <w:rsid w:val="208F4DF7"/>
    <w:rsid w:val="20981226"/>
    <w:rsid w:val="20A83220"/>
    <w:rsid w:val="20E71F9A"/>
    <w:rsid w:val="21046E3A"/>
    <w:rsid w:val="210618F0"/>
    <w:rsid w:val="21270CC2"/>
    <w:rsid w:val="21274A8D"/>
    <w:rsid w:val="21D50045"/>
    <w:rsid w:val="22396826"/>
    <w:rsid w:val="224F6049"/>
    <w:rsid w:val="22821F7B"/>
    <w:rsid w:val="228A7943"/>
    <w:rsid w:val="23503E27"/>
    <w:rsid w:val="23DD36F6"/>
    <w:rsid w:val="23EE3640"/>
    <w:rsid w:val="23F95193"/>
    <w:rsid w:val="24266EC9"/>
    <w:rsid w:val="24DB0580"/>
    <w:rsid w:val="251F57E3"/>
    <w:rsid w:val="254479BB"/>
    <w:rsid w:val="255552F4"/>
    <w:rsid w:val="25AC5561"/>
    <w:rsid w:val="25E34571"/>
    <w:rsid w:val="25F969F8"/>
    <w:rsid w:val="26124F7C"/>
    <w:rsid w:val="264A4F4F"/>
    <w:rsid w:val="26506010"/>
    <w:rsid w:val="268877A1"/>
    <w:rsid w:val="26936134"/>
    <w:rsid w:val="26AD5D0D"/>
    <w:rsid w:val="26D36140"/>
    <w:rsid w:val="27181100"/>
    <w:rsid w:val="275B5C83"/>
    <w:rsid w:val="278E278E"/>
    <w:rsid w:val="27B74E95"/>
    <w:rsid w:val="28344812"/>
    <w:rsid w:val="285A74F6"/>
    <w:rsid w:val="28AF528E"/>
    <w:rsid w:val="28F25887"/>
    <w:rsid w:val="290D71FC"/>
    <w:rsid w:val="29746395"/>
    <w:rsid w:val="29C16846"/>
    <w:rsid w:val="29F23CDD"/>
    <w:rsid w:val="2A30249C"/>
    <w:rsid w:val="2A370F32"/>
    <w:rsid w:val="2A570191"/>
    <w:rsid w:val="2ACA0D3E"/>
    <w:rsid w:val="2ACF1C5D"/>
    <w:rsid w:val="2AE61515"/>
    <w:rsid w:val="2B050B4A"/>
    <w:rsid w:val="2B230073"/>
    <w:rsid w:val="2B356201"/>
    <w:rsid w:val="2B667F60"/>
    <w:rsid w:val="2B712262"/>
    <w:rsid w:val="2B817C7B"/>
    <w:rsid w:val="2BB31DFD"/>
    <w:rsid w:val="2BC31C57"/>
    <w:rsid w:val="2C9E07BF"/>
    <w:rsid w:val="2CAB201C"/>
    <w:rsid w:val="2D4C1B03"/>
    <w:rsid w:val="2D5269EE"/>
    <w:rsid w:val="2D832920"/>
    <w:rsid w:val="2D937732"/>
    <w:rsid w:val="2DCD42C6"/>
    <w:rsid w:val="2DE0049D"/>
    <w:rsid w:val="2E3260C6"/>
    <w:rsid w:val="2E506832"/>
    <w:rsid w:val="2E5D03BB"/>
    <w:rsid w:val="2ED40002"/>
    <w:rsid w:val="2EF05516"/>
    <w:rsid w:val="2F065CE2"/>
    <w:rsid w:val="2F594063"/>
    <w:rsid w:val="30346975"/>
    <w:rsid w:val="30893E07"/>
    <w:rsid w:val="30BF31A0"/>
    <w:rsid w:val="3115220C"/>
    <w:rsid w:val="31295CB7"/>
    <w:rsid w:val="314E47F2"/>
    <w:rsid w:val="31624A09"/>
    <w:rsid w:val="31653D42"/>
    <w:rsid w:val="316600C5"/>
    <w:rsid w:val="31977496"/>
    <w:rsid w:val="31A551E2"/>
    <w:rsid w:val="31CE550A"/>
    <w:rsid w:val="31F12C79"/>
    <w:rsid w:val="31F75DB5"/>
    <w:rsid w:val="32036508"/>
    <w:rsid w:val="32096215"/>
    <w:rsid w:val="32513718"/>
    <w:rsid w:val="3300448E"/>
    <w:rsid w:val="332A25DE"/>
    <w:rsid w:val="334F3707"/>
    <w:rsid w:val="33547E0A"/>
    <w:rsid w:val="33AF6948"/>
    <w:rsid w:val="342A2472"/>
    <w:rsid w:val="346F1641"/>
    <w:rsid w:val="34AC6BCC"/>
    <w:rsid w:val="35020CF9"/>
    <w:rsid w:val="35252B14"/>
    <w:rsid w:val="35A47489"/>
    <w:rsid w:val="36C95F72"/>
    <w:rsid w:val="36F40B16"/>
    <w:rsid w:val="36FE0C92"/>
    <w:rsid w:val="37105893"/>
    <w:rsid w:val="37270FA6"/>
    <w:rsid w:val="37577894"/>
    <w:rsid w:val="37761D13"/>
    <w:rsid w:val="38040D2A"/>
    <w:rsid w:val="382471D8"/>
    <w:rsid w:val="3881462B"/>
    <w:rsid w:val="38A81BB8"/>
    <w:rsid w:val="38D2052D"/>
    <w:rsid w:val="39741A71"/>
    <w:rsid w:val="39974C7E"/>
    <w:rsid w:val="3A054308"/>
    <w:rsid w:val="3A125E82"/>
    <w:rsid w:val="3A6C4FEA"/>
    <w:rsid w:val="3AB24F6F"/>
    <w:rsid w:val="3AB94550"/>
    <w:rsid w:val="3B620744"/>
    <w:rsid w:val="3B62768D"/>
    <w:rsid w:val="3BB27261"/>
    <w:rsid w:val="3C20321B"/>
    <w:rsid w:val="3C461E13"/>
    <w:rsid w:val="3D2E4D81"/>
    <w:rsid w:val="3D3912A9"/>
    <w:rsid w:val="3DB8289D"/>
    <w:rsid w:val="3DFA1107"/>
    <w:rsid w:val="3E485474"/>
    <w:rsid w:val="3E7E2E6C"/>
    <w:rsid w:val="3E976956"/>
    <w:rsid w:val="3EC3774B"/>
    <w:rsid w:val="3EC51715"/>
    <w:rsid w:val="3F081602"/>
    <w:rsid w:val="3F1A40AE"/>
    <w:rsid w:val="3F4563B2"/>
    <w:rsid w:val="3F9B2476"/>
    <w:rsid w:val="3FA72611"/>
    <w:rsid w:val="3FC40905"/>
    <w:rsid w:val="3FCE1C5A"/>
    <w:rsid w:val="3FD404CE"/>
    <w:rsid w:val="3FE931E1"/>
    <w:rsid w:val="3FFC4A76"/>
    <w:rsid w:val="401F39E9"/>
    <w:rsid w:val="40C1415E"/>
    <w:rsid w:val="40D3098D"/>
    <w:rsid w:val="40D93256"/>
    <w:rsid w:val="41526B64"/>
    <w:rsid w:val="4169555E"/>
    <w:rsid w:val="417F0B65"/>
    <w:rsid w:val="41AA69A0"/>
    <w:rsid w:val="41B03D78"/>
    <w:rsid w:val="41BF6404"/>
    <w:rsid w:val="42134546"/>
    <w:rsid w:val="4222148F"/>
    <w:rsid w:val="428464EB"/>
    <w:rsid w:val="42A06816"/>
    <w:rsid w:val="42A17BA6"/>
    <w:rsid w:val="42C34E0B"/>
    <w:rsid w:val="42E36295"/>
    <w:rsid w:val="436112E1"/>
    <w:rsid w:val="439F6E61"/>
    <w:rsid w:val="43BE2B8A"/>
    <w:rsid w:val="444255B6"/>
    <w:rsid w:val="444B4F44"/>
    <w:rsid w:val="44A66E7D"/>
    <w:rsid w:val="44D31D31"/>
    <w:rsid w:val="450F2962"/>
    <w:rsid w:val="452B7DF8"/>
    <w:rsid w:val="45462E84"/>
    <w:rsid w:val="45482758"/>
    <w:rsid w:val="45671CBD"/>
    <w:rsid w:val="4599112C"/>
    <w:rsid w:val="46396545"/>
    <w:rsid w:val="46736B3C"/>
    <w:rsid w:val="46873DD0"/>
    <w:rsid w:val="46A616B2"/>
    <w:rsid w:val="46C16C66"/>
    <w:rsid w:val="46D149CF"/>
    <w:rsid w:val="47845EE5"/>
    <w:rsid w:val="47AF2F63"/>
    <w:rsid w:val="47DD066E"/>
    <w:rsid w:val="47ED3A8B"/>
    <w:rsid w:val="48081624"/>
    <w:rsid w:val="483428BD"/>
    <w:rsid w:val="48896197"/>
    <w:rsid w:val="48C91E02"/>
    <w:rsid w:val="48FC6901"/>
    <w:rsid w:val="48FE1841"/>
    <w:rsid w:val="49025314"/>
    <w:rsid w:val="49144199"/>
    <w:rsid w:val="491A265E"/>
    <w:rsid w:val="4A4C4A99"/>
    <w:rsid w:val="4A826E28"/>
    <w:rsid w:val="4A8561FD"/>
    <w:rsid w:val="4AA414CB"/>
    <w:rsid w:val="4AAE12AF"/>
    <w:rsid w:val="4AC97137"/>
    <w:rsid w:val="4B7324DB"/>
    <w:rsid w:val="4B7815D4"/>
    <w:rsid w:val="4B9656D2"/>
    <w:rsid w:val="4B9F6840"/>
    <w:rsid w:val="4BE100EF"/>
    <w:rsid w:val="4C1415E6"/>
    <w:rsid w:val="4C1635B0"/>
    <w:rsid w:val="4C1E4213"/>
    <w:rsid w:val="4C2F2872"/>
    <w:rsid w:val="4C8B1FB6"/>
    <w:rsid w:val="4D16563C"/>
    <w:rsid w:val="4D1D4775"/>
    <w:rsid w:val="4D673998"/>
    <w:rsid w:val="4E165AE9"/>
    <w:rsid w:val="4E1C29D4"/>
    <w:rsid w:val="4E280B54"/>
    <w:rsid w:val="4E37780E"/>
    <w:rsid w:val="4E590582"/>
    <w:rsid w:val="4E91146E"/>
    <w:rsid w:val="4EAC044A"/>
    <w:rsid w:val="4EBD72A6"/>
    <w:rsid w:val="4ED33793"/>
    <w:rsid w:val="4EF47004"/>
    <w:rsid w:val="4F471CD3"/>
    <w:rsid w:val="4F6B7A5F"/>
    <w:rsid w:val="4F79447E"/>
    <w:rsid w:val="4FEE03A0"/>
    <w:rsid w:val="5019366F"/>
    <w:rsid w:val="502F2E92"/>
    <w:rsid w:val="51051479"/>
    <w:rsid w:val="520D67C1"/>
    <w:rsid w:val="52AA2CA4"/>
    <w:rsid w:val="52D82DE9"/>
    <w:rsid w:val="531D5224"/>
    <w:rsid w:val="53236DB5"/>
    <w:rsid w:val="53394028"/>
    <w:rsid w:val="53460A16"/>
    <w:rsid w:val="53B03160"/>
    <w:rsid w:val="53BB67EB"/>
    <w:rsid w:val="53E50B93"/>
    <w:rsid w:val="53E75832"/>
    <w:rsid w:val="541214BE"/>
    <w:rsid w:val="54280325"/>
    <w:rsid w:val="5452714F"/>
    <w:rsid w:val="54662BFB"/>
    <w:rsid w:val="54B5148C"/>
    <w:rsid w:val="54CA3B23"/>
    <w:rsid w:val="54CA6E6B"/>
    <w:rsid w:val="55002F4C"/>
    <w:rsid w:val="553A3451"/>
    <w:rsid w:val="55FB55C5"/>
    <w:rsid w:val="560B1ADB"/>
    <w:rsid w:val="561778BD"/>
    <w:rsid w:val="5621502B"/>
    <w:rsid w:val="563F35B6"/>
    <w:rsid w:val="566209E7"/>
    <w:rsid w:val="56843281"/>
    <w:rsid w:val="56CA5A4F"/>
    <w:rsid w:val="56CC3E96"/>
    <w:rsid w:val="57342B3C"/>
    <w:rsid w:val="57672F12"/>
    <w:rsid w:val="57696912"/>
    <w:rsid w:val="57797372"/>
    <w:rsid w:val="57945866"/>
    <w:rsid w:val="57970055"/>
    <w:rsid w:val="57A52A39"/>
    <w:rsid w:val="57B27F05"/>
    <w:rsid w:val="583E16A2"/>
    <w:rsid w:val="58A50087"/>
    <w:rsid w:val="58B10670"/>
    <w:rsid w:val="58B32426"/>
    <w:rsid w:val="58F20F01"/>
    <w:rsid w:val="59046DE4"/>
    <w:rsid w:val="590F7D8F"/>
    <w:rsid w:val="59350DEE"/>
    <w:rsid w:val="59952F94"/>
    <w:rsid w:val="59AA358A"/>
    <w:rsid w:val="59B2243E"/>
    <w:rsid w:val="59B53BA0"/>
    <w:rsid w:val="59CD0C94"/>
    <w:rsid w:val="5A56726E"/>
    <w:rsid w:val="5A6E0A5B"/>
    <w:rsid w:val="5AD36B10"/>
    <w:rsid w:val="5ADC3C17"/>
    <w:rsid w:val="5ADC573B"/>
    <w:rsid w:val="5B0B1E06"/>
    <w:rsid w:val="5B24736C"/>
    <w:rsid w:val="5B2A0B2F"/>
    <w:rsid w:val="5C2C64D8"/>
    <w:rsid w:val="5C9D633C"/>
    <w:rsid w:val="5CBA7F88"/>
    <w:rsid w:val="5CC04E72"/>
    <w:rsid w:val="5D291F85"/>
    <w:rsid w:val="5D5F3499"/>
    <w:rsid w:val="5D6514FF"/>
    <w:rsid w:val="5D7C6FEB"/>
    <w:rsid w:val="5DBE13B2"/>
    <w:rsid w:val="5E2006A3"/>
    <w:rsid w:val="5E3B2A02"/>
    <w:rsid w:val="5E6C0A33"/>
    <w:rsid w:val="5E762F78"/>
    <w:rsid w:val="5E785A05"/>
    <w:rsid w:val="5EAF1912"/>
    <w:rsid w:val="5EDC3E56"/>
    <w:rsid w:val="5F370970"/>
    <w:rsid w:val="5F5C0E82"/>
    <w:rsid w:val="5F6B37BB"/>
    <w:rsid w:val="5FA40A7B"/>
    <w:rsid w:val="6017124D"/>
    <w:rsid w:val="606036A1"/>
    <w:rsid w:val="608C1C3B"/>
    <w:rsid w:val="60D33FA2"/>
    <w:rsid w:val="61160B5C"/>
    <w:rsid w:val="611877D8"/>
    <w:rsid w:val="618D4BBE"/>
    <w:rsid w:val="624F2F20"/>
    <w:rsid w:val="6271733B"/>
    <w:rsid w:val="62B51380"/>
    <w:rsid w:val="62D6719E"/>
    <w:rsid w:val="62E261E5"/>
    <w:rsid w:val="63091321"/>
    <w:rsid w:val="635B76A3"/>
    <w:rsid w:val="63685C2A"/>
    <w:rsid w:val="63861F03"/>
    <w:rsid w:val="63D00091"/>
    <w:rsid w:val="640169E9"/>
    <w:rsid w:val="64C574CA"/>
    <w:rsid w:val="64DB6CED"/>
    <w:rsid w:val="65150451"/>
    <w:rsid w:val="652F2B95"/>
    <w:rsid w:val="6534707B"/>
    <w:rsid w:val="65647C5B"/>
    <w:rsid w:val="66327BF7"/>
    <w:rsid w:val="66404F36"/>
    <w:rsid w:val="66652D12"/>
    <w:rsid w:val="668D4017"/>
    <w:rsid w:val="668F5FE1"/>
    <w:rsid w:val="6690467C"/>
    <w:rsid w:val="66A446EB"/>
    <w:rsid w:val="66B5531C"/>
    <w:rsid w:val="66EA76BB"/>
    <w:rsid w:val="66F52CC3"/>
    <w:rsid w:val="671169F6"/>
    <w:rsid w:val="671764AB"/>
    <w:rsid w:val="672E1BB9"/>
    <w:rsid w:val="68233E92"/>
    <w:rsid w:val="684B396E"/>
    <w:rsid w:val="68752646"/>
    <w:rsid w:val="68A37B22"/>
    <w:rsid w:val="68CD2DF1"/>
    <w:rsid w:val="68F42A0B"/>
    <w:rsid w:val="696A6892"/>
    <w:rsid w:val="69AE756A"/>
    <w:rsid w:val="69C51802"/>
    <w:rsid w:val="6A39281D"/>
    <w:rsid w:val="6A540B5C"/>
    <w:rsid w:val="6AA0366A"/>
    <w:rsid w:val="6AD57716"/>
    <w:rsid w:val="6AFE1987"/>
    <w:rsid w:val="6B234F4A"/>
    <w:rsid w:val="6B306F2E"/>
    <w:rsid w:val="6B3734E3"/>
    <w:rsid w:val="6BE7241B"/>
    <w:rsid w:val="6BF57F88"/>
    <w:rsid w:val="6C066D46"/>
    <w:rsid w:val="6C251FBB"/>
    <w:rsid w:val="6C901341"/>
    <w:rsid w:val="6CAE6A95"/>
    <w:rsid w:val="6CC4275D"/>
    <w:rsid w:val="6CC46483"/>
    <w:rsid w:val="6D2156DC"/>
    <w:rsid w:val="6D372470"/>
    <w:rsid w:val="6D3C6797"/>
    <w:rsid w:val="6D6C1709"/>
    <w:rsid w:val="6DAC0977"/>
    <w:rsid w:val="6DF42BCE"/>
    <w:rsid w:val="6E0252EB"/>
    <w:rsid w:val="6E8300C9"/>
    <w:rsid w:val="6EA2607D"/>
    <w:rsid w:val="6ED317D6"/>
    <w:rsid w:val="6ED529FF"/>
    <w:rsid w:val="6EE80984"/>
    <w:rsid w:val="6EEB3FD1"/>
    <w:rsid w:val="6EFD5AB2"/>
    <w:rsid w:val="6F00293A"/>
    <w:rsid w:val="6F0D49D1"/>
    <w:rsid w:val="6F147412"/>
    <w:rsid w:val="6F567312"/>
    <w:rsid w:val="6F632D80"/>
    <w:rsid w:val="6FBD33FE"/>
    <w:rsid w:val="6FEA24DA"/>
    <w:rsid w:val="7027728A"/>
    <w:rsid w:val="7064228D"/>
    <w:rsid w:val="70AE52B6"/>
    <w:rsid w:val="70EC18B8"/>
    <w:rsid w:val="70EF4BF6"/>
    <w:rsid w:val="711C152C"/>
    <w:rsid w:val="71235CA4"/>
    <w:rsid w:val="712B4B58"/>
    <w:rsid w:val="714E2D66"/>
    <w:rsid w:val="715A3FC9"/>
    <w:rsid w:val="716E7626"/>
    <w:rsid w:val="71CD285F"/>
    <w:rsid w:val="7201431A"/>
    <w:rsid w:val="726227FC"/>
    <w:rsid w:val="72A7312D"/>
    <w:rsid w:val="72B01473"/>
    <w:rsid w:val="72CA2A64"/>
    <w:rsid w:val="73565639"/>
    <w:rsid w:val="735A1725"/>
    <w:rsid w:val="73740A39"/>
    <w:rsid w:val="73BC23E0"/>
    <w:rsid w:val="73DB05C0"/>
    <w:rsid w:val="74075FB0"/>
    <w:rsid w:val="741714DE"/>
    <w:rsid w:val="742076B8"/>
    <w:rsid w:val="74293E7E"/>
    <w:rsid w:val="748214DB"/>
    <w:rsid w:val="74A06189"/>
    <w:rsid w:val="74A94712"/>
    <w:rsid w:val="74C140FF"/>
    <w:rsid w:val="74C7103C"/>
    <w:rsid w:val="754601B3"/>
    <w:rsid w:val="75634F83"/>
    <w:rsid w:val="75711682"/>
    <w:rsid w:val="757C3BD5"/>
    <w:rsid w:val="75C15A8B"/>
    <w:rsid w:val="75C86E1A"/>
    <w:rsid w:val="75D35CCA"/>
    <w:rsid w:val="75F51351"/>
    <w:rsid w:val="760A6969"/>
    <w:rsid w:val="761B33ED"/>
    <w:rsid w:val="7693473E"/>
    <w:rsid w:val="76C021E7"/>
    <w:rsid w:val="76CF5F86"/>
    <w:rsid w:val="76D17F50"/>
    <w:rsid w:val="7702635B"/>
    <w:rsid w:val="770E6AAE"/>
    <w:rsid w:val="77472041"/>
    <w:rsid w:val="77B43BA0"/>
    <w:rsid w:val="77B92EBE"/>
    <w:rsid w:val="77DC2970"/>
    <w:rsid w:val="781F4CEB"/>
    <w:rsid w:val="7857653C"/>
    <w:rsid w:val="787212BF"/>
    <w:rsid w:val="78764DC8"/>
    <w:rsid w:val="787C30B9"/>
    <w:rsid w:val="78BB0DBC"/>
    <w:rsid w:val="790C1713"/>
    <w:rsid w:val="7972247C"/>
    <w:rsid w:val="79B419D7"/>
    <w:rsid w:val="79D25064"/>
    <w:rsid w:val="7A3B22B0"/>
    <w:rsid w:val="7A3D6F22"/>
    <w:rsid w:val="7A4160FC"/>
    <w:rsid w:val="7AA80CC3"/>
    <w:rsid w:val="7AFE0EDA"/>
    <w:rsid w:val="7BE349AD"/>
    <w:rsid w:val="7C016BE2"/>
    <w:rsid w:val="7C2005AC"/>
    <w:rsid w:val="7C381251"/>
    <w:rsid w:val="7C707B9F"/>
    <w:rsid w:val="7C8141C6"/>
    <w:rsid w:val="7C9C3264"/>
    <w:rsid w:val="7CA875CE"/>
    <w:rsid w:val="7D07647A"/>
    <w:rsid w:val="7D1376E1"/>
    <w:rsid w:val="7D141D22"/>
    <w:rsid w:val="7D44147C"/>
    <w:rsid w:val="7D4551F4"/>
    <w:rsid w:val="7DC4436B"/>
    <w:rsid w:val="7DE67CC9"/>
    <w:rsid w:val="7E025C62"/>
    <w:rsid w:val="7E6950CA"/>
    <w:rsid w:val="7E8D0C00"/>
    <w:rsid w:val="7E9E696A"/>
    <w:rsid w:val="7F0569E9"/>
    <w:rsid w:val="7F0D1D41"/>
    <w:rsid w:val="7F2D5F40"/>
    <w:rsid w:val="7F4A6215"/>
    <w:rsid w:val="7F6D77C7"/>
    <w:rsid w:val="7F833DB1"/>
    <w:rsid w:val="7FB94EC7"/>
    <w:rsid w:val="7FC22B2C"/>
    <w:rsid w:val="7FDD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97"/>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96"/>
    <w:qFormat/>
    <w:uiPriority w:val="0"/>
    <w:pPr>
      <w:keepNext/>
      <w:keepLines/>
      <w:spacing w:before="260" w:after="260" w:line="416" w:lineRule="auto"/>
      <w:outlineLvl w:val="2"/>
    </w:pPr>
    <w:rPr>
      <w:b/>
      <w:bCs/>
      <w:sz w:val="32"/>
      <w:szCs w:val="32"/>
    </w:rPr>
  </w:style>
  <w:style w:type="paragraph" w:styleId="7">
    <w:name w:val="heading 4"/>
    <w:basedOn w:val="1"/>
    <w:next w:val="1"/>
    <w:link w:val="182"/>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29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198"/>
    <w:qFormat/>
    <w:uiPriority w:val="0"/>
    <w:pPr>
      <w:keepNext/>
      <w:keepLines/>
      <w:ind w:firstLine="200" w:firstLineChars="200"/>
      <w:outlineLvl w:val="5"/>
    </w:pPr>
    <w:rPr>
      <w:rFonts w:hAnsi="Arial"/>
    </w:rPr>
  </w:style>
  <w:style w:type="paragraph" w:styleId="11">
    <w:name w:val="heading 7"/>
    <w:basedOn w:val="1"/>
    <w:next w:val="1"/>
    <w:link w:val="275"/>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270"/>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20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0">
    <w:name w:val="Default Paragraph Font"/>
    <w:qFormat/>
    <w:uiPriority w:val="1"/>
  </w:style>
  <w:style w:type="table" w:default="1" w:styleId="48">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1"/>
    <w:link w:val="272"/>
    <w:qFormat/>
    <w:uiPriority w:val="0"/>
    <w:pPr>
      <w:ind w:firstLine="407" w:firstLineChars="200"/>
    </w:p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39"/>
    <w:pPr>
      <w:ind w:left="1260"/>
      <w:jc w:val="left"/>
    </w:pPr>
    <w:rPr>
      <w:sz w:val="18"/>
      <w:szCs w:val="18"/>
    </w:rPr>
  </w:style>
  <w:style w:type="paragraph" w:styleId="15">
    <w:name w:val="table of authorities"/>
    <w:basedOn w:val="1"/>
    <w:next w:val="1"/>
    <w:unhideWhenUsed/>
    <w:qFormat/>
    <w:uiPriority w:val="99"/>
    <w:pPr>
      <w:ind w:left="420" w:leftChars="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207"/>
    <w:qFormat/>
    <w:uiPriority w:val="0"/>
    <w:pPr>
      <w:shd w:val="clear" w:color="auto" w:fill="000080"/>
    </w:pPr>
  </w:style>
  <w:style w:type="paragraph" w:styleId="18">
    <w:name w:val="annotation text"/>
    <w:basedOn w:val="1"/>
    <w:link w:val="292"/>
    <w:qFormat/>
    <w:uiPriority w:val="99"/>
    <w:pPr>
      <w:jc w:val="left"/>
    </w:pPr>
  </w:style>
  <w:style w:type="paragraph" w:styleId="19">
    <w:name w:val="Body Text 3"/>
    <w:basedOn w:val="1"/>
    <w:link w:val="311"/>
    <w:qFormat/>
    <w:uiPriority w:val="0"/>
    <w:pPr>
      <w:spacing w:after="120"/>
    </w:pPr>
    <w:rPr>
      <w:sz w:val="16"/>
      <w:szCs w:val="16"/>
    </w:rPr>
  </w:style>
  <w:style w:type="paragraph" w:styleId="20">
    <w:name w:val="Body Text"/>
    <w:basedOn w:val="1"/>
    <w:next w:val="1"/>
    <w:link w:val="217"/>
    <w:qFormat/>
    <w:uiPriority w:val="0"/>
    <w:pPr>
      <w:spacing w:after="120"/>
    </w:p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qFormat/>
    <w:uiPriority w:val="0"/>
    <w:pPr>
      <w:ind w:left="600" w:leftChars="600"/>
    </w:pPr>
  </w:style>
  <w:style w:type="paragraph" w:styleId="23">
    <w:name w:val="toc 5"/>
    <w:basedOn w:val="1"/>
    <w:next w:val="1"/>
    <w:qFormat/>
    <w:uiPriority w:val="39"/>
    <w:pPr>
      <w:ind w:left="840"/>
      <w:jc w:val="left"/>
    </w:pPr>
    <w:rPr>
      <w:sz w:val="18"/>
      <w:szCs w:val="18"/>
    </w:rPr>
  </w:style>
  <w:style w:type="paragraph" w:styleId="24">
    <w:name w:val="toc 3"/>
    <w:basedOn w:val="6"/>
    <w:next w:val="1"/>
    <w:qFormat/>
    <w:uiPriority w:val="39"/>
    <w:pPr>
      <w:keepNext w:val="0"/>
      <w:keepLines w:val="0"/>
      <w:spacing w:before="0" w:after="0" w:line="240" w:lineRule="auto"/>
      <w:ind w:left="420"/>
      <w:jc w:val="left"/>
      <w:outlineLvl w:val="9"/>
    </w:pPr>
    <w:rPr>
      <w:b w:val="0"/>
      <w:bCs w:val="0"/>
      <w:i/>
      <w:iCs/>
      <w:sz w:val="20"/>
      <w:szCs w:val="20"/>
    </w:rPr>
  </w:style>
  <w:style w:type="paragraph" w:styleId="25">
    <w:name w:val="Plain Text"/>
    <w:basedOn w:val="1"/>
    <w:link w:val="307"/>
    <w:qFormat/>
    <w:uiPriority w:val="0"/>
    <w:rPr>
      <w:rFonts w:ascii="宋体" w:hAnsi="Courier New" w:cs="Courier New"/>
      <w:szCs w:val="21"/>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160"/>
    <w:qFormat/>
    <w:uiPriority w:val="0"/>
    <w:pPr>
      <w:ind w:left="100" w:leftChars="2500"/>
    </w:pPr>
  </w:style>
  <w:style w:type="paragraph" w:styleId="28">
    <w:name w:val="Body Text Indent 2"/>
    <w:basedOn w:val="1"/>
    <w:link w:val="274"/>
    <w:qFormat/>
    <w:uiPriority w:val="0"/>
    <w:pPr>
      <w:widowControl/>
      <w:spacing w:line="480" w:lineRule="auto"/>
      <w:ind w:firstLine="560"/>
      <w:jc w:val="left"/>
    </w:pPr>
    <w:rPr>
      <w:kern w:val="0"/>
      <w:sz w:val="28"/>
    </w:rPr>
  </w:style>
  <w:style w:type="paragraph" w:styleId="29">
    <w:name w:val="endnote text"/>
    <w:basedOn w:val="1"/>
    <w:link w:val="184"/>
    <w:qFormat/>
    <w:uiPriority w:val="0"/>
    <w:pPr>
      <w:widowControl/>
      <w:snapToGrid w:val="0"/>
      <w:jc w:val="left"/>
    </w:pPr>
    <w:rPr>
      <w:rFonts w:ascii="Arial" w:hAnsi="Arial" w:cs="Arial"/>
      <w:kern w:val="0"/>
      <w:sz w:val="20"/>
      <w:lang w:eastAsia="en-US"/>
    </w:rPr>
  </w:style>
  <w:style w:type="paragraph" w:styleId="30">
    <w:name w:val="Balloon Text"/>
    <w:basedOn w:val="1"/>
    <w:link w:val="211"/>
    <w:qFormat/>
    <w:uiPriority w:val="0"/>
    <w:rPr>
      <w:sz w:val="18"/>
      <w:szCs w:val="18"/>
    </w:rPr>
  </w:style>
  <w:style w:type="paragraph" w:styleId="31">
    <w:name w:val="footer"/>
    <w:basedOn w:val="1"/>
    <w:link w:val="199"/>
    <w:qFormat/>
    <w:uiPriority w:val="0"/>
    <w:pPr>
      <w:tabs>
        <w:tab w:val="center" w:pos="4153"/>
        <w:tab w:val="right" w:pos="8306"/>
      </w:tabs>
      <w:snapToGrid w:val="0"/>
      <w:jc w:val="left"/>
    </w:pPr>
    <w:rPr>
      <w:sz w:val="18"/>
      <w:szCs w:val="18"/>
    </w:rPr>
  </w:style>
  <w:style w:type="paragraph" w:styleId="32">
    <w:name w:val="header"/>
    <w:basedOn w:val="1"/>
    <w:link w:val="23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4"/>
    <w:next w:val="1"/>
    <w:qFormat/>
    <w:uiPriority w:val="39"/>
    <w:pPr>
      <w:keepNext w:val="0"/>
      <w:keepLines w:val="0"/>
      <w:spacing w:before="120" w:after="120" w:line="240" w:lineRule="auto"/>
      <w:jc w:val="left"/>
      <w:outlineLvl w:val="9"/>
    </w:pPr>
    <w:rPr>
      <w:caps/>
      <w:kern w:val="2"/>
      <w:sz w:val="20"/>
      <w:szCs w:val="20"/>
    </w:rPr>
  </w:style>
  <w:style w:type="paragraph" w:styleId="34">
    <w:name w:val="toc 4"/>
    <w:basedOn w:val="7"/>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5">
    <w:name w:val="Subtitle"/>
    <w:basedOn w:val="1"/>
    <w:link w:val="304"/>
    <w:qFormat/>
    <w:uiPriority w:val="0"/>
    <w:pPr>
      <w:widowControl/>
      <w:jc w:val="center"/>
    </w:pPr>
    <w:rPr>
      <w:kern w:val="0"/>
      <w:sz w:val="20"/>
      <w:u w:val="single"/>
      <w:lang w:eastAsia="en-US"/>
    </w:rPr>
  </w:style>
  <w:style w:type="paragraph" w:styleId="36">
    <w:name w:val="footnote text"/>
    <w:basedOn w:val="1"/>
    <w:link w:val="219"/>
    <w:qFormat/>
    <w:uiPriority w:val="0"/>
    <w:pPr>
      <w:widowControl/>
      <w:snapToGrid w:val="0"/>
      <w:jc w:val="left"/>
    </w:pPr>
    <w:rPr>
      <w:rFonts w:ascii="Arial" w:hAnsi="Arial" w:cs="Arial"/>
      <w:kern w:val="0"/>
      <w:sz w:val="18"/>
      <w:szCs w:val="18"/>
      <w:lang w:eastAsia="en-US"/>
    </w:rPr>
  </w:style>
  <w:style w:type="paragraph" w:styleId="37">
    <w:name w:val="toc 6"/>
    <w:basedOn w:val="1"/>
    <w:next w:val="1"/>
    <w:qFormat/>
    <w:uiPriority w:val="39"/>
    <w:pPr>
      <w:ind w:left="1050"/>
      <w:jc w:val="left"/>
    </w:pPr>
    <w:rPr>
      <w:sz w:val="18"/>
      <w:szCs w:val="18"/>
    </w:rPr>
  </w:style>
  <w:style w:type="paragraph" w:styleId="38">
    <w:name w:val="Body Text Indent 3"/>
    <w:basedOn w:val="1"/>
    <w:link w:val="271"/>
    <w:qFormat/>
    <w:uiPriority w:val="0"/>
    <w:pPr>
      <w:spacing w:line="360" w:lineRule="auto"/>
      <w:ind w:firstLine="280" w:firstLineChars="100"/>
    </w:pPr>
    <w:rPr>
      <w:rFonts w:ascii="宋体" w:hAnsi="宋体"/>
      <w:sz w:val="28"/>
      <w:szCs w:val="28"/>
    </w:rPr>
  </w:style>
  <w:style w:type="paragraph" w:styleId="39">
    <w:name w:val="toc 2"/>
    <w:basedOn w:val="5"/>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0">
    <w:name w:val="toc 9"/>
    <w:basedOn w:val="1"/>
    <w:next w:val="1"/>
    <w:qFormat/>
    <w:uiPriority w:val="39"/>
    <w:pPr>
      <w:ind w:left="1680"/>
      <w:jc w:val="left"/>
    </w:pPr>
    <w:rPr>
      <w:sz w:val="18"/>
      <w:szCs w:val="18"/>
    </w:rPr>
  </w:style>
  <w:style w:type="paragraph" w:styleId="41">
    <w:name w:val="Body Text 2"/>
    <w:basedOn w:val="1"/>
    <w:link w:val="267"/>
    <w:qFormat/>
    <w:uiPriority w:val="0"/>
    <w:rPr>
      <w:i/>
      <w:iCs/>
      <w:sz w:val="26"/>
    </w:rPr>
  </w:style>
  <w:style w:type="paragraph" w:styleId="42">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link w:val="214"/>
    <w:qFormat/>
    <w:uiPriority w:val="0"/>
    <w:pPr>
      <w:widowControl/>
      <w:jc w:val="center"/>
    </w:pPr>
    <w:rPr>
      <w:kern w:val="0"/>
      <w:sz w:val="20"/>
      <w:u w:val="single"/>
      <w:lang w:eastAsia="en-US"/>
    </w:rPr>
  </w:style>
  <w:style w:type="paragraph" w:styleId="46">
    <w:name w:val="annotation subject"/>
    <w:basedOn w:val="18"/>
    <w:next w:val="18"/>
    <w:link w:val="266"/>
    <w:qFormat/>
    <w:uiPriority w:val="0"/>
    <w:rPr>
      <w:b/>
      <w:bCs/>
    </w:rPr>
  </w:style>
  <w:style w:type="paragraph" w:styleId="47">
    <w:name w:val="Body Text First Indent"/>
    <w:basedOn w:val="20"/>
    <w:next w:val="1"/>
    <w:qFormat/>
    <w:uiPriority w:val="0"/>
    <w:pPr>
      <w:spacing w:line="360" w:lineRule="auto"/>
      <w:ind w:firstLine="420"/>
    </w:pPr>
    <w:rPr>
      <w:rFonts w:ascii="宋体" w:hAnsi="宋体"/>
      <w:sz w:val="24"/>
      <w:szCs w:val="20"/>
    </w:rPr>
  </w:style>
  <w:style w:type="table" w:styleId="49">
    <w:name w:val="Table Grid"/>
    <w:basedOn w:val="4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endnote reference"/>
    <w:qFormat/>
    <w:uiPriority w:val="0"/>
    <w:rPr>
      <w:vertAlign w:val="superscript"/>
    </w:rPr>
  </w:style>
  <w:style w:type="character" w:styleId="53">
    <w:name w:val="page number"/>
    <w:basedOn w:val="50"/>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qFormat/>
    <w:uiPriority w:val="0"/>
    <w:rPr>
      <w:vertAlign w:val="superscript"/>
    </w:rPr>
  </w:style>
  <w:style w:type="paragraph" w:customStyle="1" w:styleId="59">
    <w:name w:val="目录 53"/>
    <w:next w:val="1"/>
    <w:qFormat/>
    <w:uiPriority w:val="99"/>
    <w:pPr>
      <w:wordWrap w:val="0"/>
      <w:ind w:left="1275"/>
      <w:jc w:val="both"/>
    </w:pPr>
    <w:rPr>
      <w:rFonts w:ascii="Calibri" w:hAnsi="Calibri" w:eastAsia="宋体" w:cs="Times New Roman"/>
      <w:sz w:val="21"/>
      <w:lang w:val="en-US" w:eastAsia="zh-CN" w:bidi="ar-SA"/>
    </w:rPr>
  </w:style>
  <w:style w:type="paragraph" w:customStyle="1" w:styleId="6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61">
    <w:name w:val="_Style 101"/>
    <w:basedOn w:val="1"/>
    <w:qFormat/>
    <w:uiPriority w:val="99"/>
    <w:pPr>
      <w:ind w:firstLine="420" w:firstLineChars="200"/>
    </w:pPr>
    <w:rPr>
      <w:sz w:val="28"/>
      <w:szCs w:val="28"/>
    </w:rPr>
  </w:style>
  <w:style w:type="paragraph" w:customStyle="1" w:styleId="62">
    <w:name w:val="表格标题"/>
    <w:basedOn w:val="63"/>
    <w:qFormat/>
    <w:uiPriority w:val="0"/>
  </w:style>
  <w:style w:type="paragraph" w:customStyle="1" w:styleId="63">
    <w:name w:val="表格内容"/>
    <w:basedOn w:val="1"/>
    <w:qFormat/>
    <w:uiPriority w:val="0"/>
    <w:pPr>
      <w:suppressLineNumbers/>
      <w:suppressAutoHyphens/>
    </w:pPr>
  </w:style>
  <w:style w:type="paragraph" w:customStyle="1" w:styleId="64">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5">
    <w:name w:val="修订1"/>
    <w:qFormat/>
    <w:uiPriority w:val="0"/>
    <w:rPr>
      <w:rFonts w:ascii="Times New Roman" w:hAnsi="Times New Roman" w:eastAsia="宋体" w:cs="Times New Roman"/>
      <w:kern w:val="2"/>
      <w:sz w:val="21"/>
      <w:szCs w:val="24"/>
      <w:lang w:val="en-US" w:eastAsia="zh-CN" w:bidi="ar-SA"/>
    </w:rPr>
  </w:style>
  <w:style w:type="paragraph" w:customStyle="1" w:styleId="6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7">
    <w:name w:val="标准样式1"/>
    <w:basedOn w:val="1"/>
    <w:qFormat/>
    <w:uiPriority w:val="0"/>
    <w:pPr>
      <w:spacing w:line="600" w:lineRule="exact"/>
      <w:ind w:firstLine="567"/>
    </w:pPr>
    <w:rPr>
      <w:rFonts w:ascii="Calibri" w:hAnsi="Calibri"/>
      <w:sz w:val="28"/>
    </w:rPr>
  </w:style>
  <w:style w:type="paragraph" w:customStyle="1" w:styleId="68">
    <w:name w:val="列出段落11"/>
    <w:basedOn w:val="1"/>
    <w:qFormat/>
    <w:uiPriority w:val="0"/>
    <w:pPr>
      <w:ind w:firstLine="420" w:firstLineChars="200"/>
    </w:pPr>
    <w:rPr>
      <w:sz w:val="28"/>
      <w:szCs w:val="28"/>
    </w:rPr>
  </w:style>
  <w:style w:type="paragraph" w:customStyle="1" w:styleId="69">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70">
    <w:name w:val="WW-表格标题"/>
    <w:basedOn w:val="71"/>
    <w:qFormat/>
    <w:uiPriority w:val="0"/>
  </w:style>
  <w:style w:type="paragraph" w:customStyle="1" w:styleId="71">
    <w:name w:val="WW-表格内容"/>
    <w:basedOn w:val="1"/>
    <w:qFormat/>
    <w:uiPriority w:val="0"/>
    <w:pPr>
      <w:suppressLineNumbers/>
      <w:suppressAutoHyphens/>
    </w:pPr>
  </w:style>
  <w:style w:type="paragraph" w:customStyle="1" w:styleId="72">
    <w:name w:val="引用2"/>
    <w:basedOn w:val="1"/>
    <w:next w:val="1"/>
    <w:link w:val="303"/>
    <w:qFormat/>
    <w:uiPriority w:val="0"/>
    <w:rPr>
      <w:i/>
      <w:iCs/>
      <w:color w:val="000000"/>
    </w:rPr>
  </w:style>
  <w:style w:type="paragraph" w:customStyle="1" w:styleId="73">
    <w:name w:val="Char Char Char Char Char Char Char Char Char Char"/>
    <w:basedOn w:val="17"/>
    <w:qFormat/>
    <w:uiPriority w:val="0"/>
    <w:pPr>
      <w:spacing w:line="360" w:lineRule="auto"/>
      <w:ind w:firstLine="200" w:firstLineChars="200"/>
    </w:pPr>
    <w:rPr>
      <w:rFonts w:ascii="Tahoma" w:hAnsi="Tahoma"/>
      <w:sz w:val="24"/>
    </w:rPr>
  </w:style>
  <w:style w:type="paragraph" w:customStyle="1" w:styleId="7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5">
    <w:name w:val="Char Char Char Char"/>
    <w:basedOn w:val="17"/>
    <w:qFormat/>
    <w:uiPriority w:val="0"/>
    <w:pPr>
      <w:spacing w:line="360" w:lineRule="auto"/>
      <w:ind w:firstLine="200" w:firstLineChars="200"/>
    </w:pPr>
    <w:rPr>
      <w:rFonts w:ascii="Tahoma" w:hAnsi="Tahoma"/>
      <w:sz w:val="24"/>
    </w:rPr>
  </w:style>
  <w:style w:type="paragraph" w:customStyle="1" w:styleId="76">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8">
    <w:name w:val="p16"/>
    <w:basedOn w:val="1"/>
    <w:qFormat/>
    <w:uiPriority w:val="0"/>
    <w:pPr>
      <w:widowControl/>
    </w:pPr>
    <w:rPr>
      <w:rFonts w:ascii="Calibri" w:hAnsi="Calibri" w:cs="宋体"/>
      <w:kern w:val="0"/>
      <w:szCs w:val="21"/>
    </w:rPr>
  </w:style>
  <w:style w:type="paragraph" w:customStyle="1" w:styleId="79">
    <w:name w:val="列出段落1"/>
    <w:basedOn w:val="1"/>
    <w:qFormat/>
    <w:uiPriority w:val="0"/>
    <w:pPr>
      <w:ind w:firstLine="420" w:firstLineChars="200"/>
    </w:pPr>
    <w:rPr>
      <w:sz w:val="28"/>
      <w:szCs w:val="28"/>
    </w:rPr>
  </w:style>
  <w:style w:type="paragraph" w:customStyle="1" w:styleId="80">
    <w:name w:val="样式1"/>
    <w:basedOn w:val="1"/>
    <w:next w:val="7"/>
    <w:qFormat/>
    <w:uiPriority w:val="0"/>
    <w:pPr>
      <w:spacing w:line="360" w:lineRule="auto"/>
      <w:ind w:firstLine="420" w:firstLineChars="200"/>
    </w:pPr>
    <w:rPr>
      <w:rFonts w:ascii="宋体" w:hAnsi="宋体"/>
      <w:szCs w:val="21"/>
    </w:rPr>
  </w:style>
  <w:style w:type="paragraph" w:customStyle="1" w:styleId="8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82">
    <w:name w:val="Char9 Char Char Char Char Char Char"/>
    <w:basedOn w:val="17"/>
    <w:qFormat/>
    <w:uiPriority w:val="0"/>
    <w:pPr>
      <w:spacing w:line="360" w:lineRule="auto"/>
      <w:ind w:firstLine="200" w:firstLineChars="200"/>
    </w:pPr>
    <w:rPr>
      <w:rFonts w:ascii="Tahoma" w:hAnsi="Tahoma"/>
      <w:sz w:val="24"/>
    </w:rPr>
  </w:style>
  <w:style w:type="paragraph" w:customStyle="1" w:styleId="83">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4">
    <w:name w:val="引用1"/>
    <w:basedOn w:val="1"/>
    <w:next w:val="1"/>
    <w:link w:val="153"/>
    <w:qFormat/>
    <w:uiPriority w:val="29"/>
    <w:rPr>
      <w:i/>
      <w:iCs/>
      <w:color w:val="000000"/>
      <w:szCs w:val="20"/>
    </w:rPr>
  </w:style>
  <w:style w:type="paragraph" w:customStyle="1" w:styleId="85">
    <w:name w:val="表格文字"/>
    <w:basedOn w:val="1"/>
    <w:qFormat/>
    <w:uiPriority w:val="0"/>
    <w:pPr>
      <w:adjustRightInd w:val="0"/>
      <w:spacing w:line="420" w:lineRule="atLeast"/>
      <w:jc w:val="left"/>
      <w:textAlignment w:val="baseline"/>
    </w:pPr>
    <w:rPr>
      <w:kern w:val="0"/>
      <w:szCs w:val="20"/>
    </w:rPr>
  </w:style>
  <w:style w:type="paragraph" w:customStyle="1" w:styleId="86">
    <w:name w:val="_Style 96"/>
    <w:qFormat/>
    <w:uiPriority w:val="99"/>
    <w:rPr>
      <w:rFonts w:ascii="Calibri" w:hAnsi="Calibri"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8">
    <w:name w:val="_Style 10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9">
    <w:name w:val="正  文"/>
    <w:basedOn w:val="1"/>
    <w:qFormat/>
    <w:uiPriority w:val="0"/>
    <w:pPr>
      <w:spacing w:line="360" w:lineRule="auto"/>
      <w:ind w:firstLine="200" w:firstLineChars="200"/>
    </w:pPr>
    <w:rPr>
      <w:rFonts w:ascii="宋体" w:hAnsi="Calibri"/>
      <w:sz w:val="24"/>
    </w:rPr>
  </w:style>
  <w:style w:type="paragraph" w:customStyle="1" w:styleId="90">
    <w:name w:val="标题4"/>
    <w:basedOn w:val="5"/>
    <w:next w:val="22"/>
    <w:link w:val="246"/>
    <w:qFormat/>
    <w:uiPriority w:val="0"/>
    <w:pPr>
      <w:spacing w:line="413" w:lineRule="auto"/>
    </w:pPr>
    <w:rPr>
      <w:rFonts w:ascii="Arial" w:hAnsi="Arial"/>
      <w:kern w:val="0"/>
      <w:sz w:val="24"/>
    </w:rPr>
  </w:style>
  <w:style w:type="paragraph" w:customStyle="1" w:styleId="91">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5">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8">
    <w:name w:val="1 Char"/>
    <w:basedOn w:val="1"/>
    <w:qFormat/>
    <w:uiPriority w:val="0"/>
    <w:pPr>
      <w:widowControl/>
      <w:spacing w:after="160" w:line="240" w:lineRule="exact"/>
      <w:jc w:val="left"/>
    </w:pPr>
    <w:rPr>
      <w:rFonts w:ascii="Calibri" w:hAnsi="Calibri"/>
      <w:szCs w:val="20"/>
    </w:rPr>
  </w:style>
  <w:style w:type="paragraph" w:customStyle="1" w:styleId="9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00">
    <w:name w:val="pa-34"/>
    <w:basedOn w:val="1"/>
    <w:qFormat/>
    <w:uiPriority w:val="0"/>
    <w:pPr>
      <w:widowControl/>
      <w:spacing w:line="360" w:lineRule="atLeast"/>
      <w:ind w:firstLine="420"/>
      <w:jc w:val="left"/>
    </w:pPr>
    <w:rPr>
      <w:rFonts w:ascii="宋体" w:hAnsi="宋体" w:cs="宋体"/>
      <w:kern w:val="0"/>
      <w:sz w:val="24"/>
    </w:rPr>
  </w:style>
  <w:style w:type="paragraph" w:customStyle="1" w:styleId="101">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2">
    <w:name w:val="p15"/>
    <w:basedOn w:val="1"/>
    <w:qFormat/>
    <w:uiPriority w:val="0"/>
    <w:pPr>
      <w:widowControl/>
      <w:spacing w:after="120"/>
    </w:pPr>
    <w:rPr>
      <w:kern w:val="0"/>
      <w:szCs w:val="21"/>
    </w:rPr>
  </w:style>
  <w:style w:type="paragraph" w:customStyle="1" w:styleId="10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 Char Char Char Char 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5">
    <w:name w:val="_Style 124"/>
    <w:basedOn w:val="1"/>
    <w:next w:val="1"/>
    <w:link w:val="200"/>
    <w:qFormat/>
    <w:uiPriority w:val="0"/>
    <w:rPr>
      <w:i/>
      <w:iCs/>
      <w:color w:val="000000"/>
      <w:szCs w:val="22"/>
    </w:rPr>
  </w:style>
  <w:style w:type="paragraph" w:customStyle="1" w:styleId="10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8">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9">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110">
    <w:name w:val="pa-27"/>
    <w:basedOn w:val="1"/>
    <w:qFormat/>
    <w:uiPriority w:val="0"/>
    <w:pPr>
      <w:widowControl/>
      <w:spacing w:line="360" w:lineRule="atLeast"/>
      <w:ind w:firstLine="420"/>
    </w:pPr>
    <w:rPr>
      <w:rFonts w:ascii="宋体" w:hAnsi="宋体" w:cs="宋体"/>
      <w:kern w:val="0"/>
      <w:sz w:val="24"/>
    </w:rPr>
  </w:style>
  <w:style w:type="paragraph" w:customStyle="1" w:styleId="111">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2">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明显引用1"/>
    <w:basedOn w:val="1"/>
    <w:next w:val="1"/>
    <w:link w:val="301"/>
    <w:qFormat/>
    <w:uiPriority w:val="30"/>
    <w:pPr>
      <w:pBdr>
        <w:bottom w:val="single" w:color="4F81BD" w:sz="4" w:space="4"/>
      </w:pBdr>
      <w:spacing w:before="200" w:after="280"/>
      <w:ind w:left="936" w:right="936"/>
    </w:pPr>
    <w:rPr>
      <w:b/>
      <w:bCs/>
      <w:i/>
      <w:iCs/>
      <w:color w:val="4F81BD"/>
      <w:szCs w:val="20"/>
    </w:rPr>
  </w:style>
  <w:style w:type="paragraph" w:customStyle="1" w:styleId="115">
    <w:name w:val="样式15"/>
    <w:basedOn w:val="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6">
    <w:name w:val="TOC 标题2"/>
    <w:basedOn w:val="4"/>
    <w:next w:val="1"/>
    <w:qFormat/>
    <w:uiPriority w:val="0"/>
    <w:pPr>
      <w:outlineLvl w:val="9"/>
    </w:pPr>
    <w:rPr>
      <w:rFonts w:ascii="Calibri" w:hAnsi="Calibri"/>
    </w:rPr>
  </w:style>
  <w:style w:type="paragraph" w:customStyle="1" w:styleId="117">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1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标题5"/>
    <w:basedOn w:val="6"/>
    <w:link w:val="168"/>
    <w:qFormat/>
    <w:uiPriority w:val="0"/>
    <w:pPr>
      <w:spacing w:line="413" w:lineRule="auto"/>
    </w:pPr>
    <w:rPr>
      <w:rFonts w:ascii="Arial" w:hAnsi="Arial"/>
      <w:kern w:val="0"/>
      <w:sz w:val="24"/>
    </w:rPr>
  </w:style>
  <w:style w:type="paragraph" w:customStyle="1" w:styleId="120">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21">
    <w:name w:val="_Style 64"/>
    <w:basedOn w:val="1"/>
    <w:next w:val="1"/>
    <w:link w:val="300"/>
    <w:qFormat/>
    <w:uiPriority w:val="0"/>
    <w:pPr>
      <w:pBdr>
        <w:bottom w:val="single" w:color="4F81BD" w:sz="4" w:space="4"/>
      </w:pBdr>
      <w:spacing w:before="200" w:after="280"/>
      <w:ind w:left="936" w:right="936"/>
    </w:pPr>
    <w:rPr>
      <w:b/>
      <w:bCs/>
      <w:i/>
      <w:iCs/>
      <w:color w:val="4F81BD"/>
      <w:szCs w:val="22"/>
    </w:rPr>
  </w:style>
  <w:style w:type="paragraph" w:customStyle="1" w:styleId="122">
    <w:name w:val="_Style 128"/>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3">
    <w:name w:val="Char2"/>
    <w:basedOn w:val="1"/>
    <w:qFormat/>
    <w:uiPriority w:val="0"/>
    <w:rPr>
      <w:rFonts w:ascii="Calibri" w:hAnsi="Calibri"/>
    </w:rPr>
  </w:style>
  <w:style w:type="paragraph" w:customStyle="1" w:styleId="124">
    <w:name w:val="_Style 87"/>
    <w:basedOn w:val="1"/>
    <w:qFormat/>
    <w:uiPriority w:val="99"/>
    <w:pPr>
      <w:ind w:firstLine="420" w:firstLineChars="200"/>
    </w:pPr>
    <w:rPr>
      <w:rFonts w:ascii="Calibri" w:hAnsi="Calibri"/>
      <w:sz w:val="28"/>
      <w:szCs w:val="28"/>
    </w:rPr>
  </w:style>
  <w:style w:type="paragraph" w:customStyle="1" w:styleId="125">
    <w:name w:val="自定样式1"/>
    <w:basedOn w:val="1"/>
    <w:qFormat/>
    <w:uiPriority w:val="0"/>
    <w:pPr>
      <w:suppressAutoHyphens/>
      <w:jc w:val="center"/>
    </w:pPr>
    <w:rPr>
      <w:rFonts w:ascii="宋体" w:hAnsi="宋体"/>
      <w:color w:val="000000"/>
      <w:sz w:val="18"/>
    </w:rPr>
  </w:style>
  <w:style w:type="paragraph" w:customStyle="1" w:styleId="126">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Char"/>
    <w:basedOn w:val="1"/>
    <w:qFormat/>
    <w:uiPriority w:val="0"/>
  </w:style>
  <w:style w:type="paragraph" w:customStyle="1" w:styleId="128">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列表段落1"/>
    <w:basedOn w:val="1"/>
    <w:qFormat/>
    <w:uiPriority w:val="34"/>
    <w:pPr>
      <w:ind w:firstLine="420" w:firstLineChars="200"/>
    </w:pPr>
    <w:rPr>
      <w:rFonts w:ascii="Calibri" w:hAnsi="Calibri"/>
    </w:rPr>
  </w:style>
  <w:style w:type="paragraph" w:customStyle="1" w:styleId="130">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1">
    <w:name w:val="表体"/>
    <w:basedOn w:val="1"/>
    <w:next w:val="1"/>
    <w:qFormat/>
    <w:uiPriority w:val="0"/>
    <w:pPr>
      <w:spacing w:line="0" w:lineRule="atLeast"/>
    </w:pPr>
    <w:rPr>
      <w:rFonts w:ascii="Calibri" w:hAnsi="Calibri"/>
      <w:b/>
      <w:snapToGrid w:val="0"/>
      <w:szCs w:val="20"/>
    </w:rPr>
  </w:style>
  <w:style w:type="paragraph" w:customStyle="1" w:styleId="132">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3">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4">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5">
    <w:name w:val="Char11"/>
    <w:basedOn w:val="1"/>
    <w:qFormat/>
    <w:uiPriority w:val="0"/>
  </w:style>
  <w:style w:type="paragraph" w:customStyle="1" w:styleId="136">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7">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38">
    <w:name w:val="_Style 86"/>
    <w:qFormat/>
    <w:uiPriority w:val="0"/>
    <w:rPr>
      <w:rFonts w:ascii="Times New Roman" w:hAnsi="Times New Roman" w:eastAsia="宋体" w:cs="Times New Roman"/>
      <w:kern w:val="2"/>
      <w:sz w:val="21"/>
      <w:szCs w:val="24"/>
      <w:lang w:val="en-US" w:eastAsia="zh-CN" w:bidi="ar-SA"/>
    </w:rPr>
  </w:style>
  <w:style w:type="paragraph" w:customStyle="1" w:styleId="139">
    <w:name w:val="Char1"/>
    <w:basedOn w:val="1"/>
    <w:qFormat/>
    <w:uiPriority w:val="0"/>
  </w:style>
  <w:style w:type="paragraph" w:customStyle="1" w:styleId="140">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1">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5">
    <w:name w:val="正文文本 Char2"/>
    <w:qFormat/>
    <w:uiPriority w:val="99"/>
    <w:rPr>
      <w:kern w:val="2"/>
      <w:sz w:val="21"/>
      <w:szCs w:val="24"/>
    </w:rPr>
  </w:style>
  <w:style w:type="character" w:customStyle="1" w:styleId="146">
    <w:name w:val="尾注文本 Char1"/>
    <w:qFormat/>
    <w:uiPriority w:val="0"/>
    <w:rPr>
      <w:rFonts w:ascii="Arial" w:hAnsi="Arial" w:cs="Arial"/>
      <w:szCs w:val="24"/>
      <w:lang w:eastAsia="en-US"/>
    </w:rPr>
  </w:style>
  <w:style w:type="character" w:customStyle="1" w:styleId="147">
    <w:name w:val="脚注文本 Char"/>
    <w:qFormat/>
    <w:uiPriority w:val="0"/>
    <w:rPr>
      <w:rFonts w:ascii="Arial" w:hAnsi="Arial" w:eastAsia="宋体" w:cs="Arial"/>
      <w:sz w:val="18"/>
      <w:szCs w:val="18"/>
      <w:lang w:eastAsia="en-US"/>
    </w:rPr>
  </w:style>
  <w:style w:type="character" w:customStyle="1" w:styleId="148">
    <w:name w:val="Char Char17"/>
    <w:qFormat/>
    <w:uiPriority w:val="0"/>
    <w:rPr>
      <w:kern w:val="2"/>
      <w:sz w:val="26"/>
      <w:szCs w:val="24"/>
    </w:rPr>
  </w:style>
  <w:style w:type="character" w:customStyle="1" w:styleId="149">
    <w:name w:val="副标题 Char1"/>
    <w:qFormat/>
    <w:uiPriority w:val="0"/>
    <w:rPr>
      <w:szCs w:val="24"/>
      <w:u w:val="single"/>
      <w:lang w:eastAsia="en-US"/>
    </w:rPr>
  </w:style>
  <w:style w:type="character" w:customStyle="1" w:styleId="150">
    <w:name w:val="标题 Char1"/>
    <w:qFormat/>
    <w:uiPriority w:val="10"/>
    <w:rPr>
      <w:szCs w:val="24"/>
      <w:u w:val="single"/>
      <w:lang w:eastAsia="en-US"/>
    </w:rPr>
  </w:style>
  <w:style w:type="character" w:customStyle="1" w:styleId="151">
    <w:name w:val="Char Char24"/>
    <w:qFormat/>
    <w:uiPriority w:val="0"/>
    <w:rPr>
      <w:b/>
      <w:bCs/>
      <w:kern w:val="44"/>
      <w:sz w:val="44"/>
      <w:szCs w:val="44"/>
    </w:rPr>
  </w:style>
  <w:style w:type="character" w:customStyle="1" w:styleId="152">
    <w:name w:val="批注主题 Char"/>
    <w:qFormat/>
    <w:uiPriority w:val="0"/>
    <w:rPr>
      <w:rFonts w:ascii="宋体" w:hAnsi="宋体" w:eastAsia="宋体"/>
      <w:kern w:val="2"/>
      <w:sz w:val="24"/>
      <w:szCs w:val="28"/>
      <w:lang w:val="en-US" w:eastAsia="zh-CN" w:bidi="ar-SA"/>
    </w:rPr>
  </w:style>
  <w:style w:type="character" w:customStyle="1" w:styleId="153">
    <w:name w:val="引用 Char1"/>
    <w:link w:val="84"/>
    <w:qFormat/>
    <w:uiPriority w:val="29"/>
    <w:rPr>
      <w:i/>
      <w:iCs/>
      <w:color w:val="000000"/>
      <w:kern w:val="2"/>
      <w:sz w:val="21"/>
    </w:rPr>
  </w:style>
  <w:style w:type="character" w:customStyle="1" w:styleId="154">
    <w:name w:val="Char Char23"/>
    <w:qFormat/>
    <w:uiPriority w:val="0"/>
    <w:rPr>
      <w:rFonts w:ascii="Cambria" w:hAnsi="Cambria" w:eastAsia="宋体" w:cs="Times New Roman"/>
      <w:b/>
      <w:bCs/>
      <w:kern w:val="2"/>
      <w:sz w:val="32"/>
      <w:szCs w:val="32"/>
    </w:rPr>
  </w:style>
  <w:style w:type="character" w:customStyle="1" w:styleId="155">
    <w:name w:val="ITTHEADER2 Char"/>
    <w:qFormat/>
    <w:uiPriority w:val="0"/>
    <w:rPr>
      <w:rFonts w:ascii="仿宋_GB2312" w:eastAsia="仿宋_GB2312" w:cs="MingLiU"/>
      <w:b/>
      <w:spacing w:val="1"/>
      <w:w w:val="99"/>
      <w:sz w:val="28"/>
      <w:szCs w:val="32"/>
      <w:lang w:val="en-US" w:eastAsia="zh-CN" w:bidi="ar-SA"/>
    </w:rPr>
  </w:style>
  <w:style w:type="character" w:customStyle="1" w:styleId="156">
    <w:name w:val="标题 9 Char1"/>
    <w:qFormat/>
    <w:uiPriority w:val="0"/>
    <w:rPr>
      <w:rFonts w:ascii="Times New Roman" w:hAnsi="Times New Roman" w:eastAsia="仿宋_GB2312" w:cs="Times New Roman"/>
      <w:sz w:val="30"/>
      <w:szCs w:val="20"/>
    </w:rPr>
  </w:style>
  <w:style w:type="character" w:customStyle="1" w:styleId="157">
    <w:name w:val="正文文本 Char1"/>
    <w:qFormat/>
    <w:uiPriority w:val="0"/>
    <w:rPr>
      <w:kern w:val="2"/>
      <w:sz w:val="21"/>
      <w:szCs w:val="22"/>
    </w:rPr>
  </w:style>
  <w:style w:type="character" w:customStyle="1" w:styleId="158">
    <w:name w:val="引用 Char2"/>
    <w:qFormat/>
    <w:uiPriority w:val="99"/>
    <w:rPr>
      <w:i/>
      <w:iCs/>
      <w:color w:val="000000"/>
      <w:kern w:val="2"/>
      <w:sz w:val="21"/>
      <w:szCs w:val="24"/>
    </w:rPr>
  </w:style>
  <w:style w:type="character" w:customStyle="1" w:styleId="159">
    <w:name w:val="正文文本 Char3"/>
    <w:qFormat/>
    <w:uiPriority w:val="99"/>
    <w:rPr>
      <w:rFonts w:ascii="Calibri" w:hAnsi="Calibri" w:eastAsia="宋体" w:cs="Times New Roman"/>
      <w:szCs w:val="24"/>
    </w:rPr>
  </w:style>
  <w:style w:type="character" w:customStyle="1" w:styleId="160">
    <w:name w:val="日期 字符"/>
    <w:link w:val="27"/>
    <w:qFormat/>
    <w:uiPriority w:val="0"/>
    <w:rPr>
      <w:rFonts w:eastAsia="宋体"/>
      <w:kern w:val="2"/>
      <w:sz w:val="21"/>
      <w:szCs w:val="24"/>
      <w:lang w:val="en-US" w:eastAsia="zh-CN" w:bidi="ar-SA"/>
    </w:rPr>
  </w:style>
  <w:style w:type="character" w:customStyle="1" w:styleId="161">
    <w:name w:val="标题 2 Char"/>
    <w:qFormat/>
    <w:uiPriority w:val="0"/>
    <w:rPr>
      <w:rFonts w:ascii="仿宋_GB2312" w:hAnsi="Calibri" w:eastAsia="仿宋_GB2312" w:cs="Times New Roman"/>
      <w:b/>
      <w:spacing w:val="1"/>
      <w:w w:val="99"/>
      <w:kern w:val="0"/>
      <w:sz w:val="28"/>
      <w:szCs w:val="32"/>
    </w:rPr>
  </w:style>
  <w:style w:type="character" w:customStyle="1" w:styleId="162">
    <w:name w:val="标题 7 Char"/>
    <w:qFormat/>
    <w:uiPriority w:val="0"/>
    <w:rPr>
      <w:rFonts w:ascii="Calibri" w:hAnsi="Calibri" w:eastAsia="宋体" w:cs="Times New Roman"/>
      <w:b/>
      <w:bCs/>
      <w:sz w:val="24"/>
      <w:szCs w:val="24"/>
    </w:rPr>
  </w:style>
  <w:style w:type="character" w:customStyle="1" w:styleId="163">
    <w:name w:val="批注框文本 Char1"/>
    <w:qFormat/>
    <w:uiPriority w:val="0"/>
    <w:rPr>
      <w:kern w:val="2"/>
      <w:sz w:val="18"/>
      <w:szCs w:val="18"/>
    </w:rPr>
  </w:style>
  <w:style w:type="character" w:customStyle="1" w:styleId="164">
    <w:name w:val="日期 Char1"/>
    <w:qFormat/>
    <w:uiPriority w:val="0"/>
    <w:rPr>
      <w:kern w:val="2"/>
      <w:sz w:val="21"/>
      <w:szCs w:val="22"/>
    </w:rPr>
  </w:style>
  <w:style w:type="character" w:customStyle="1" w:styleId="165">
    <w:name w:val="_Style 171"/>
    <w:qFormat/>
    <w:uiPriority w:val="0"/>
    <w:rPr>
      <w:b/>
      <w:bCs/>
      <w:i/>
      <w:iCs/>
      <w:color w:val="4F81BD"/>
    </w:rPr>
  </w:style>
  <w:style w:type="character" w:customStyle="1" w:styleId="166">
    <w:name w:val="Char Char22"/>
    <w:qFormat/>
    <w:uiPriority w:val="0"/>
    <w:rPr>
      <w:b/>
      <w:bCs/>
      <w:kern w:val="2"/>
      <w:sz w:val="32"/>
      <w:szCs w:val="32"/>
    </w:rPr>
  </w:style>
  <w:style w:type="character" w:customStyle="1" w:styleId="167">
    <w:name w:val="标题 6 Char1"/>
    <w:qFormat/>
    <w:uiPriority w:val="0"/>
    <w:rPr>
      <w:rFonts w:ascii="Times New Roman" w:hAnsi="Arial" w:eastAsia="仿宋_GB2312" w:cs="Times New Roman"/>
      <w:sz w:val="30"/>
      <w:szCs w:val="20"/>
    </w:rPr>
  </w:style>
  <w:style w:type="character" w:customStyle="1" w:styleId="168">
    <w:name w:val="标题5 Char Char"/>
    <w:link w:val="119"/>
    <w:qFormat/>
    <w:uiPriority w:val="0"/>
    <w:rPr>
      <w:rFonts w:ascii="Arial" w:hAnsi="Arial"/>
      <w:b/>
      <w:bCs/>
      <w:sz w:val="24"/>
      <w:szCs w:val="32"/>
      <w:lang w:bidi="ar-SA"/>
    </w:rPr>
  </w:style>
  <w:style w:type="character" w:customStyle="1" w:styleId="169">
    <w:name w:val="正文文本缩进 Char1"/>
    <w:qFormat/>
    <w:uiPriority w:val="0"/>
    <w:rPr>
      <w:kern w:val="2"/>
      <w:sz w:val="21"/>
      <w:szCs w:val="24"/>
    </w:rPr>
  </w:style>
  <w:style w:type="character" w:customStyle="1" w:styleId="170">
    <w:name w:val="标题 4 Char1"/>
    <w:qFormat/>
    <w:uiPriority w:val="0"/>
    <w:rPr>
      <w:rFonts w:ascii="宋体" w:hAnsi="宋体" w:eastAsia="宋体" w:cs="宋体"/>
      <w:b/>
      <w:bCs/>
      <w:sz w:val="24"/>
      <w:szCs w:val="24"/>
    </w:rPr>
  </w:style>
  <w:style w:type="character" w:customStyle="1" w:styleId="171">
    <w:name w:val="尾注文本 Char"/>
    <w:qFormat/>
    <w:uiPriority w:val="0"/>
    <w:rPr>
      <w:kern w:val="2"/>
      <w:sz w:val="21"/>
      <w:szCs w:val="24"/>
    </w:rPr>
  </w:style>
  <w:style w:type="character" w:customStyle="1" w:styleId="172">
    <w:name w:val="HTML 预设格式 字符"/>
    <w:link w:val="42"/>
    <w:qFormat/>
    <w:uiPriority w:val="0"/>
    <w:rPr>
      <w:rFonts w:ascii="宋体" w:hAnsi="宋体" w:eastAsia="宋体" w:cs="宋体"/>
      <w:color w:val="000000"/>
      <w:sz w:val="24"/>
      <w:szCs w:val="24"/>
      <w:lang w:val="en-US" w:eastAsia="zh-CN" w:bidi="ar-SA"/>
    </w:rPr>
  </w:style>
  <w:style w:type="character" w:customStyle="1" w:styleId="173">
    <w:name w:val="尾注文本 Char2"/>
    <w:qFormat/>
    <w:uiPriority w:val="99"/>
    <w:rPr>
      <w:rFonts w:ascii="Calibri" w:hAnsi="Calibri" w:eastAsia="宋体" w:cs="Times New Roman"/>
      <w:szCs w:val="24"/>
    </w:rPr>
  </w:style>
  <w:style w:type="character" w:customStyle="1" w:styleId="174">
    <w:name w:val="明显强调1"/>
    <w:qFormat/>
    <w:uiPriority w:val="0"/>
    <w:rPr>
      <w:b/>
      <w:bCs/>
      <w:i/>
      <w:iCs/>
      <w:color w:val="4F81BD"/>
    </w:rPr>
  </w:style>
  <w:style w:type="character" w:customStyle="1" w:styleId="175">
    <w:name w:val="正文文本 Char"/>
    <w:qFormat/>
    <w:uiPriority w:val="0"/>
    <w:rPr>
      <w:sz w:val="26"/>
      <w:szCs w:val="24"/>
    </w:rPr>
  </w:style>
  <w:style w:type="character" w:customStyle="1" w:styleId="176">
    <w:name w:val="脚注文本 Char2"/>
    <w:qFormat/>
    <w:uiPriority w:val="99"/>
    <w:rPr>
      <w:rFonts w:ascii="Calibri" w:hAnsi="Calibri" w:eastAsia="宋体" w:cs="Times New Roman"/>
      <w:sz w:val="18"/>
      <w:szCs w:val="18"/>
    </w:rPr>
  </w:style>
  <w:style w:type="character" w:customStyle="1" w:styleId="177">
    <w:name w:val="正文文本 2 Char1"/>
    <w:qFormat/>
    <w:uiPriority w:val="99"/>
    <w:rPr>
      <w:rFonts w:ascii="Calibri" w:hAnsi="Calibri" w:eastAsia="宋体" w:cs="Times New Roman"/>
      <w:szCs w:val="24"/>
    </w:rPr>
  </w:style>
  <w:style w:type="character" w:customStyle="1" w:styleId="178">
    <w:name w:val="_Style 248"/>
    <w:qFormat/>
    <w:uiPriority w:val="0"/>
    <w:rPr>
      <w:b/>
      <w:bCs/>
      <w:smallCaps/>
      <w:spacing w:val="5"/>
    </w:rPr>
  </w:style>
  <w:style w:type="character" w:customStyle="1" w:styleId="179">
    <w:name w:val="明显引用 Char3"/>
    <w:qFormat/>
    <w:uiPriority w:val="30"/>
    <w:rPr>
      <w:rFonts w:ascii="Calibri" w:hAnsi="Calibri" w:eastAsia="宋体" w:cs="Times New Roman"/>
      <w:b/>
      <w:bCs/>
      <w:i/>
      <w:iCs/>
      <w:color w:val="4F81BD"/>
      <w:szCs w:val="24"/>
    </w:rPr>
  </w:style>
  <w:style w:type="character" w:customStyle="1" w:styleId="180">
    <w:name w:val="_Style 254"/>
    <w:qFormat/>
    <w:uiPriority w:val="0"/>
    <w:rPr>
      <w:b/>
      <w:bCs/>
      <w:smallCaps/>
      <w:color w:val="C0504D"/>
      <w:spacing w:val="5"/>
      <w:u w:val="single"/>
    </w:rPr>
  </w:style>
  <w:style w:type="character" w:customStyle="1" w:styleId="181">
    <w:name w:val="正文文本缩进 Char2"/>
    <w:qFormat/>
    <w:uiPriority w:val="99"/>
    <w:rPr>
      <w:rFonts w:ascii="Calibri" w:hAnsi="Calibri" w:eastAsia="宋体" w:cs="Times New Roman"/>
      <w:szCs w:val="24"/>
    </w:rPr>
  </w:style>
  <w:style w:type="character" w:customStyle="1" w:styleId="182">
    <w:name w:val="标题 4 字符"/>
    <w:link w:val="7"/>
    <w:qFormat/>
    <w:uiPriority w:val="0"/>
    <w:rPr>
      <w:rFonts w:ascii="宋体" w:hAnsi="宋体" w:eastAsia="宋体" w:cs="宋体"/>
      <w:b/>
      <w:bCs/>
      <w:sz w:val="24"/>
      <w:szCs w:val="24"/>
      <w:lang w:val="en-US" w:eastAsia="zh-CN" w:bidi="ar-SA"/>
    </w:rPr>
  </w:style>
  <w:style w:type="character" w:customStyle="1" w:styleId="183">
    <w:name w:val="正文文本缩进 3 Char"/>
    <w:qFormat/>
    <w:uiPriority w:val="0"/>
    <w:rPr>
      <w:kern w:val="2"/>
      <w:sz w:val="16"/>
      <w:szCs w:val="16"/>
    </w:rPr>
  </w:style>
  <w:style w:type="character" w:customStyle="1" w:styleId="184">
    <w:name w:val="尾注文本 字符"/>
    <w:link w:val="29"/>
    <w:qFormat/>
    <w:uiPriority w:val="0"/>
    <w:rPr>
      <w:rFonts w:ascii="Arial" w:hAnsi="Arial" w:eastAsia="宋体" w:cs="Arial"/>
      <w:szCs w:val="24"/>
      <w:lang w:val="en-US" w:eastAsia="en-US" w:bidi="ar-SA"/>
    </w:rPr>
  </w:style>
  <w:style w:type="character" w:customStyle="1" w:styleId="185">
    <w:name w:val="引用 Char3"/>
    <w:qFormat/>
    <w:uiPriority w:val="29"/>
    <w:rPr>
      <w:rFonts w:ascii="Calibri" w:hAnsi="Calibri" w:eastAsia="宋体" w:cs="Times New Roman"/>
      <w:i/>
      <w:iCs/>
      <w:color w:val="000000"/>
      <w:szCs w:val="24"/>
    </w:rPr>
  </w:style>
  <w:style w:type="character" w:customStyle="1" w:styleId="186">
    <w:name w:val="Char Char32"/>
    <w:qFormat/>
    <w:uiPriority w:val="0"/>
    <w:rPr>
      <w:rFonts w:ascii="仿宋_GB2312" w:eastAsia="仿宋_GB2312" w:cs="MingLiU"/>
      <w:b/>
      <w:spacing w:val="1"/>
      <w:w w:val="99"/>
      <w:sz w:val="28"/>
      <w:szCs w:val="32"/>
    </w:rPr>
  </w:style>
  <w:style w:type="character" w:customStyle="1" w:styleId="187">
    <w:name w:val="日期 Char"/>
    <w:qFormat/>
    <w:uiPriority w:val="0"/>
    <w:rPr>
      <w:rFonts w:eastAsia="宋体"/>
      <w:szCs w:val="24"/>
    </w:rPr>
  </w:style>
  <w:style w:type="character" w:customStyle="1" w:styleId="188">
    <w:name w:val="页脚 Char"/>
    <w:qFormat/>
    <w:uiPriority w:val="0"/>
    <w:rPr>
      <w:sz w:val="18"/>
      <w:szCs w:val="18"/>
    </w:rPr>
  </w:style>
  <w:style w:type="character" w:customStyle="1" w:styleId="189">
    <w:name w:val="style121"/>
    <w:qFormat/>
    <w:uiPriority w:val="0"/>
    <w:rPr>
      <w:rFonts w:hint="eastAsia" w:ascii="宋体" w:hAnsi="宋体" w:eastAsia="宋体"/>
      <w:sz w:val="18"/>
      <w:szCs w:val="18"/>
    </w:rPr>
  </w:style>
  <w:style w:type="character" w:customStyle="1" w:styleId="190">
    <w:name w:val="ss16"/>
    <w:qFormat/>
    <w:uiPriority w:val="0"/>
    <w:rPr>
      <w:rFonts w:hint="eastAsia" w:ascii="宋体" w:hAnsi="宋体" w:eastAsia="宋体"/>
      <w:color w:val="000000"/>
      <w:sz w:val="9"/>
      <w:szCs w:val="9"/>
    </w:rPr>
  </w:style>
  <w:style w:type="character" w:customStyle="1" w:styleId="191">
    <w:name w:val="textcontents"/>
    <w:qFormat/>
    <w:uiPriority w:val="0"/>
    <w:rPr>
      <w:rFonts w:cs="Times New Roman"/>
    </w:rPr>
  </w:style>
  <w:style w:type="character" w:customStyle="1" w:styleId="192">
    <w:name w:val="14t1"/>
    <w:qFormat/>
    <w:uiPriority w:val="0"/>
    <w:rPr>
      <w:rFonts w:hint="eastAsia" w:ascii="宋体" w:hAnsi="宋体" w:eastAsia="宋体"/>
      <w:sz w:val="11"/>
      <w:szCs w:val="11"/>
    </w:rPr>
  </w:style>
  <w:style w:type="character" w:customStyle="1" w:styleId="193">
    <w:name w:val="不明显参考1"/>
    <w:qFormat/>
    <w:uiPriority w:val="0"/>
    <w:rPr>
      <w:smallCaps/>
      <w:color w:val="C0504D"/>
      <w:u w:val="single"/>
    </w:rPr>
  </w:style>
  <w:style w:type="character" w:customStyle="1" w:styleId="194">
    <w:name w:val="unnamed1"/>
    <w:basedOn w:val="50"/>
    <w:qFormat/>
    <w:uiPriority w:val="0"/>
  </w:style>
  <w:style w:type="character" w:customStyle="1" w:styleId="195">
    <w:name w:val="批注主题 Char3"/>
    <w:qFormat/>
    <w:uiPriority w:val="99"/>
    <w:rPr>
      <w:rFonts w:ascii="Calibri" w:hAnsi="Calibri" w:eastAsia="宋体" w:cs="Times New Roman"/>
      <w:b/>
      <w:bCs/>
      <w:szCs w:val="24"/>
    </w:rPr>
  </w:style>
  <w:style w:type="character" w:customStyle="1" w:styleId="196">
    <w:name w:val="标题 3 字符"/>
    <w:link w:val="6"/>
    <w:qFormat/>
    <w:uiPriority w:val="0"/>
    <w:rPr>
      <w:rFonts w:eastAsia="宋体"/>
      <w:b/>
      <w:bCs/>
      <w:kern w:val="2"/>
      <w:sz w:val="32"/>
      <w:szCs w:val="32"/>
      <w:lang w:val="en-US" w:eastAsia="zh-CN" w:bidi="ar-SA"/>
    </w:rPr>
  </w:style>
  <w:style w:type="character" w:customStyle="1" w:styleId="197">
    <w:name w:val="标题 2 字符"/>
    <w:link w:val="5"/>
    <w:qFormat/>
    <w:uiPriority w:val="0"/>
    <w:rPr>
      <w:rFonts w:ascii="Cambria" w:hAnsi="Cambria" w:eastAsia="宋体"/>
      <w:b/>
      <w:bCs/>
      <w:kern w:val="2"/>
      <w:sz w:val="32"/>
      <w:szCs w:val="32"/>
      <w:lang w:val="en-US" w:eastAsia="zh-CN" w:bidi="ar-SA"/>
    </w:rPr>
  </w:style>
  <w:style w:type="character" w:customStyle="1" w:styleId="198">
    <w:name w:val="标题 6 字符"/>
    <w:link w:val="9"/>
    <w:qFormat/>
    <w:uiPriority w:val="0"/>
    <w:rPr>
      <w:rFonts w:hAnsi="Arial" w:eastAsia="仿宋_GB2312"/>
      <w:sz w:val="30"/>
      <w:lang w:val="en-US" w:eastAsia="zh-CN" w:bidi="ar-SA"/>
    </w:rPr>
  </w:style>
  <w:style w:type="character" w:customStyle="1" w:styleId="199">
    <w:name w:val="页脚 字符"/>
    <w:link w:val="31"/>
    <w:qFormat/>
    <w:uiPriority w:val="0"/>
    <w:rPr>
      <w:rFonts w:eastAsia="宋体"/>
      <w:kern w:val="2"/>
      <w:sz w:val="18"/>
      <w:szCs w:val="18"/>
      <w:lang w:val="en-US" w:eastAsia="zh-CN" w:bidi="ar-SA"/>
    </w:rPr>
  </w:style>
  <w:style w:type="character" w:customStyle="1" w:styleId="200">
    <w:name w:val="引用 Char4"/>
    <w:link w:val="105"/>
    <w:qFormat/>
    <w:uiPriority w:val="0"/>
    <w:rPr>
      <w:i/>
      <w:iCs/>
      <w:color w:val="000000"/>
      <w:kern w:val="2"/>
      <w:sz w:val="21"/>
      <w:szCs w:val="22"/>
      <w:lang w:bidi="ar-SA"/>
    </w:rPr>
  </w:style>
  <w:style w:type="character" w:customStyle="1" w:styleId="201">
    <w:name w:val="标题 9 字符"/>
    <w:link w:val="13"/>
    <w:qFormat/>
    <w:uiPriority w:val="0"/>
    <w:rPr>
      <w:rFonts w:eastAsia="仿宋_GB2312"/>
      <w:sz w:val="30"/>
      <w:lang w:val="en-US" w:eastAsia="zh-CN" w:bidi="ar-SA"/>
    </w:rPr>
  </w:style>
  <w:style w:type="character" w:customStyle="1" w:styleId="202">
    <w:name w:val="标题 3 Char"/>
    <w:qFormat/>
    <w:uiPriority w:val="0"/>
    <w:rPr>
      <w:rFonts w:ascii="仿宋_GB2312" w:hAnsi="Calibri" w:eastAsia="仿宋_GB2312" w:cs="Times New Roman"/>
      <w:b/>
      <w:kern w:val="0"/>
      <w:sz w:val="24"/>
      <w:szCs w:val="28"/>
    </w:rPr>
  </w:style>
  <w:style w:type="character" w:customStyle="1" w:styleId="203">
    <w:name w:val="批注文字 Char2"/>
    <w:qFormat/>
    <w:uiPriority w:val="0"/>
    <w:rPr>
      <w:rFonts w:ascii="Calibri" w:hAnsi="Calibri" w:eastAsia="宋体" w:cs="Times New Roman"/>
      <w:szCs w:val="24"/>
    </w:rPr>
  </w:style>
  <w:style w:type="character" w:customStyle="1" w:styleId="204">
    <w:name w:val="normaltext1"/>
    <w:qFormat/>
    <w:uiPriority w:val="0"/>
    <w:rPr>
      <w:rFonts w:hint="default" w:ascii="ˎ̥" w:hAnsi="ˎ̥"/>
      <w:sz w:val="9"/>
      <w:szCs w:val="9"/>
    </w:rPr>
  </w:style>
  <w:style w:type="character" w:customStyle="1" w:styleId="205">
    <w:name w:val="ca-141"/>
    <w:qFormat/>
    <w:uiPriority w:val="0"/>
    <w:rPr>
      <w:rFonts w:hint="eastAsia" w:ascii="仿宋_GB2312" w:eastAsia="仿宋_GB2312"/>
      <w:sz w:val="21"/>
      <w:szCs w:val="21"/>
    </w:rPr>
  </w:style>
  <w:style w:type="character" w:customStyle="1" w:styleId="206">
    <w:name w:val="main_tdbg_7601"/>
    <w:qFormat/>
    <w:uiPriority w:val="0"/>
    <w:rPr>
      <w:sz w:val="14"/>
      <w:szCs w:val="14"/>
    </w:rPr>
  </w:style>
  <w:style w:type="character" w:customStyle="1" w:styleId="207">
    <w:name w:val="文档结构图 字符"/>
    <w:link w:val="17"/>
    <w:qFormat/>
    <w:uiPriority w:val="0"/>
    <w:rPr>
      <w:rFonts w:eastAsia="宋体"/>
      <w:kern w:val="2"/>
      <w:sz w:val="21"/>
      <w:szCs w:val="24"/>
      <w:lang w:val="en-US" w:eastAsia="zh-CN" w:bidi="ar-SA"/>
    </w:rPr>
  </w:style>
  <w:style w:type="character" w:customStyle="1" w:styleId="208">
    <w:name w:val="批注框文本 Char3"/>
    <w:qFormat/>
    <w:uiPriority w:val="99"/>
    <w:rPr>
      <w:rFonts w:ascii="Calibri" w:hAnsi="Calibri" w:eastAsia="宋体" w:cs="Times New Roman"/>
      <w:sz w:val="18"/>
      <w:szCs w:val="18"/>
    </w:rPr>
  </w:style>
  <w:style w:type="character" w:customStyle="1" w:styleId="209">
    <w:name w:val="Char Char9"/>
    <w:qFormat/>
    <w:uiPriority w:val="0"/>
    <w:rPr>
      <w:rFonts w:ascii="仿宋_GB2312" w:eastAsia="仿宋_GB2312" w:cs="MingLiU"/>
      <w:b/>
      <w:sz w:val="24"/>
      <w:szCs w:val="28"/>
      <w:lang w:val="en-US" w:eastAsia="zh-CN" w:bidi="ar-SA"/>
    </w:rPr>
  </w:style>
  <w:style w:type="character" w:customStyle="1" w:styleId="210">
    <w:name w:val="title11"/>
    <w:qFormat/>
    <w:uiPriority w:val="0"/>
    <w:rPr>
      <w:b/>
      <w:bCs/>
      <w:color w:val="FFFFFF"/>
      <w:sz w:val="11"/>
      <w:szCs w:val="11"/>
    </w:rPr>
  </w:style>
  <w:style w:type="character" w:customStyle="1" w:styleId="211">
    <w:name w:val="批注框文本 字符"/>
    <w:link w:val="30"/>
    <w:qFormat/>
    <w:uiPriority w:val="0"/>
    <w:rPr>
      <w:rFonts w:eastAsia="宋体"/>
      <w:kern w:val="2"/>
      <w:sz w:val="18"/>
      <w:szCs w:val="18"/>
      <w:lang w:val="en-US" w:eastAsia="zh-CN" w:bidi="ar-SA"/>
    </w:rPr>
  </w:style>
  <w:style w:type="character" w:customStyle="1" w:styleId="212">
    <w:name w:val="标题 8 Char1"/>
    <w:qFormat/>
    <w:uiPriority w:val="0"/>
    <w:rPr>
      <w:rFonts w:ascii="Times New Roman" w:hAnsi="Arial" w:eastAsia="仿宋_GB2312" w:cs="Times New Roman"/>
      <w:sz w:val="30"/>
      <w:szCs w:val="20"/>
    </w:rPr>
  </w:style>
  <w:style w:type="character" w:customStyle="1" w:styleId="213">
    <w:name w:val="标题 Char2"/>
    <w:qFormat/>
    <w:uiPriority w:val="10"/>
    <w:rPr>
      <w:rFonts w:ascii="Cambria" w:hAnsi="Cambria" w:eastAsia="宋体" w:cs="Times New Roman"/>
      <w:b/>
      <w:bCs/>
      <w:sz w:val="32"/>
      <w:szCs w:val="32"/>
    </w:rPr>
  </w:style>
  <w:style w:type="character" w:customStyle="1" w:styleId="214">
    <w:name w:val="标题 字符"/>
    <w:link w:val="45"/>
    <w:qFormat/>
    <w:uiPriority w:val="0"/>
    <w:rPr>
      <w:rFonts w:eastAsia="宋体"/>
      <w:szCs w:val="24"/>
      <w:u w:val="single"/>
      <w:lang w:val="en-US" w:eastAsia="en-US" w:bidi="ar-SA"/>
    </w:rPr>
  </w:style>
  <w:style w:type="character" w:customStyle="1" w:styleId="215">
    <w:name w:val="批注主题 Char1"/>
    <w:qFormat/>
    <w:uiPriority w:val="0"/>
    <w:rPr>
      <w:b/>
      <w:bCs/>
      <w:kern w:val="2"/>
      <w:sz w:val="21"/>
      <w:szCs w:val="22"/>
    </w:rPr>
  </w:style>
  <w:style w:type="character" w:customStyle="1" w:styleId="216">
    <w:name w:val="副标题 Char"/>
    <w:qFormat/>
    <w:uiPriority w:val="0"/>
    <w:rPr>
      <w:rFonts w:ascii="Cambria" w:hAnsi="Cambria" w:eastAsia="宋体" w:cs="Times New Roman"/>
      <w:b/>
      <w:bCs/>
      <w:kern w:val="28"/>
      <w:sz w:val="32"/>
      <w:szCs w:val="32"/>
    </w:rPr>
  </w:style>
  <w:style w:type="character" w:customStyle="1" w:styleId="217">
    <w:name w:val="正文文本 字符"/>
    <w:link w:val="20"/>
    <w:qFormat/>
    <w:uiPriority w:val="0"/>
    <w:rPr>
      <w:rFonts w:eastAsia="宋体"/>
      <w:kern w:val="2"/>
      <w:sz w:val="21"/>
      <w:szCs w:val="24"/>
      <w:lang w:val="en-US" w:eastAsia="zh-CN" w:bidi="ar-SA"/>
    </w:rPr>
  </w:style>
  <w:style w:type="character" w:customStyle="1" w:styleId="218">
    <w:name w:val="纯文本 Char1"/>
    <w:qFormat/>
    <w:uiPriority w:val="0"/>
    <w:rPr>
      <w:rFonts w:ascii="宋体" w:hAnsi="Courier New" w:cs="Courier New"/>
      <w:kern w:val="2"/>
      <w:sz w:val="21"/>
      <w:szCs w:val="21"/>
    </w:rPr>
  </w:style>
  <w:style w:type="character" w:customStyle="1" w:styleId="219">
    <w:name w:val="脚注文本 字符"/>
    <w:link w:val="36"/>
    <w:qFormat/>
    <w:uiPriority w:val="0"/>
    <w:rPr>
      <w:rFonts w:ascii="Arial" w:hAnsi="Arial" w:eastAsia="宋体" w:cs="Arial"/>
      <w:sz w:val="18"/>
      <w:szCs w:val="18"/>
      <w:lang w:val="en-US" w:eastAsia="en-US" w:bidi="ar-SA"/>
    </w:rPr>
  </w:style>
  <w:style w:type="character" w:customStyle="1" w:styleId="220">
    <w:name w:val="标题 2 Char1"/>
    <w:qFormat/>
    <w:uiPriority w:val="0"/>
    <w:rPr>
      <w:rFonts w:ascii="Cambria" w:hAnsi="Cambria" w:eastAsia="宋体" w:cs="Times New Roman"/>
      <w:b/>
      <w:bCs/>
      <w:kern w:val="2"/>
      <w:sz w:val="32"/>
      <w:szCs w:val="32"/>
    </w:rPr>
  </w:style>
  <w:style w:type="character" w:customStyle="1" w:styleId="221">
    <w:name w:val="脚注文本 Char1"/>
    <w:qFormat/>
    <w:uiPriority w:val="0"/>
    <w:rPr>
      <w:rFonts w:ascii="Arial" w:hAnsi="Arial" w:cs="Arial"/>
      <w:sz w:val="18"/>
      <w:szCs w:val="18"/>
      <w:lang w:eastAsia="en-US"/>
    </w:rPr>
  </w:style>
  <w:style w:type="character" w:customStyle="1" w:styleId="222">
    <w:name w:val="HTML 预设格式 Char2"/>
    <w:qFormat/>
    <w:uiPriority w:val="99"/>
    <w:rPr>
      <w:rFonts w:ascii="Courier New" w:hAnsi="Courier New" w:eastAsia="宋体" w:cs="Courier New"/>
      <w:sz w:val="20"/>
      <w:szCs w:val="20"/>
    </w:rPr>
  </w:style>
  <w:style w:type="character" w:customStyle="1" w:styleId="223">
    <w:name w:val="标题 8 Char"/>
    <w:qFormat/>
    <w:uiPriority w:val="0"/>
    <w:rPr>
      <w:rFonts w:ascii="Arial" w:hAnsi="Arial" w:eastAsia="黑体" w:cs="Times New Roman"/>
      <w:sz w:val="24"/>
      <w:szCs w:val="24"/>
    </w:rPr>
  </w:style>
  <w:style w:type="character" w:customStyle="1" w:styleId="224">
    <w:name w:val="s3"/>
    <w:qFormat/>
    <w:uiPriority w:val="0"/>
  </w:style>
  <w:style w:type="character" w:customStyle="1" w:styleId="225">
    <w:name w:val="标题 4 Char"/>
    <w:qFormat/>
    <w:uiPriority w:val="0"/>
    <w:rPr>
      <w:rFonts w:ascii="仿宋_GB2312" w:hAnsi="Calibri" w:eastAsia="仿宋_GB2312" w:cs="Times New Roman"/>
      <w:b/>
      <w:kern w:val="0"/>
      <w:sz w:val="24"/>
      <w:szCs w:val="28"/>
    </w:rPr>
  </w:style>
  <w:style w:type="character" w:customStyle="1" w:styleId="226">
    <w:name w:val="正文文本缩进 2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正文文本缩进 2 Char2"/>
    <w:qFormat/>
    <w:uiPriority w:val="99"/>
    <w:rPr>
      <w:rFonts w:ascii="Calibri" w:hAnsi="Calibri" w:eastAsia="宋体" w:cs="Times New Roman"/>
      <w:szCs w:val="24"/>
    </w:rPr>
  </w:style>
  <w:style w:type="character" w:customStyle="1" w:styleId="229">
    <w:name w:val="ht1"/>
    <w:qFormat/>
    <w:uiPriority w:val="0"/>
    <w:rPr>
      <w:rFonts w:ascii="黑体" w:eastAsia="黑体"/>
      <w:b/>
      <w:bCs/>
    </w:rPr>
  </w:style>
  <w:style w:type="character" w:customStyle="1" w:styleId="230">
    <w:name w:val="文档结构图 Char3"/>
    <w:qFormat/>
    <w:uiPriority w:val="99"/>
    <w:rPr>
      <w:rFonts w:ascii="宋体" w:hAnsi="Calibri" w:eastAsia="宋体" w:cs="Times New Roman"/>
      <w:sz w:val="18"/>
      <w:szCs w:val="18"/>
    </w:rPr>
  </w:style>
  <w:style w:type="character" w:customStyle="1" w:styleId="231">
    <w:name w:val="书籍标题1"/>
    <w:qFormat/>
    <w:uiPriority w:val="0"/>
    <w:rPr>
      <w:b/>
      <w:bCs/>
      <w:smallCaps/>
      <w:spacing w:val="5"/>
    </w:rPr>
  </w:style>
  <w:style w:type="character" w:customStyle="1" w:styleId="232">
    <w:name w:val="标题 7 Char1"/>
    <w:qFormat/>
    <w:uiPriority w:val="0"/>
    <w:rPr>
      <w:rFonts w:ascii="Times New Roman" w:hAnsi="Times New Roman" w:eastAsia="仿宋_GB2312" w:cs="Times New Roman"/>
      <w:sz w:val="30"/>
      <w:szCs w:val="20"/>
    </w:rPr>
  </w:style>
  <w:style w:type="character" w:customStyle="1" w:styleId="233">
    <w:name w:val="明显引用 Char2"/>
    <w:qFormat/>
    <w:uiPriority w:val="99"/>
    <w:rPr>
      <w:b/>
      <w:bCs/>
      <w:i/>
      <w:iCs/>
      <w:color w:val="4F81BD"/>
      <w:kern w:val="2"/>
      <w:sz w:val="21"/>
      <w:szCs w:val="24"/>
    </w:rPr>
  </w:style>
  <w:style w:type="character" w:customStyle="1" w:styleId="234">
    <w:name w:val="不明显强调1"/>
    <w:qFormat/>
    <w:uiPriority w:val="0"/>
    <w:rPr>
      <w:i/>
      <w:iCs/>
      <w:color w:val="808080"/>
    </w:rPr>
  </w:style>
  <w:style w:type="character" w:customStyle="1" w:styleId="235">
    <w:name w:val="普通文字 Char Char2"/>
    <w:qFormat/>
    <w:uiPriority w:val="0"/>
    <w:rPr>
      <w:rFonts w:ascii="宋体" w:hAnsi="Courier New"/>
      <w:kern w:val="2"/>
      <w:sz w:val="28"/>
      <w:szCs w:val="28"/>
    </w:rPr>
  </w:style>
  <w:style w:type="character" w:customStyle="1" w:styleId="236">
    <w:name w:val="标题 6 Char"/>
    <w:qFormat/>
    <w:uiPriority w:val="0"/>
    <w:rPr>
      <w:rFonts w:ascii="Arial" w:hAnsi="Arial" w:eastAsia="黑体" w:cs="Times New Roman"/>
      <w:b/>
      <w:bCs/>
      <w:sz w:val="24"/>
      <w:szCs w:val="24"/>
    </w:rPr>
  </w:style>
  <w:style w:type="character" w:customStyle="1" w:styleId="237">
    <w:name w:val="l1"/>
    <w:basedOn w:val="50"/>
    <w:qFormat/>
    <w:uiPriority w:val="0"/>
  </w:style>
  <w:style w:type="character" w:customStyle="1" w:styleId="238">
    <w:name w:val="未处理的提及1"/>
    <w:qFormat/>
    <w:uiPriority w:val="99"/>
    <w:rPr>
      <w:color w:val="808080"/>
      <w:shd w:val="clear" w:color="auto" w:fill="E6E6E6"/>
    </w:rPr>
  </w:style>
  <w:style w:type="character" w:customStyle="1" w:styleId="239">
    <w:name w:val="页眉 字符"/>
    <w:link w:val="32"/>
    <w:qFormat/>
    <w:uiPriority w:val="0"/>
    <w:rPr>
      <w:rFonts w:eastAsia="宋体"/>
      <w:kern w:val="2"/>
      <w:sz w:val="18"/>
      <w:szCs w:val="18"/>
      <w:lang w:val="en-US" w:eastAsia="zh-CN" w:bidi="ar-SA"/>
    </w:rPr>
  </w:style>
  <w:style w:type="character" w:customStyle="1" w:styleId="240">
    <w:name w:val="Char Char35"/>
    <w:qFormat/>
    <w:uiPriority w:val="0"/>
    <w:rPr>
      <w:rFonts w:ascii="仿宋_GB2312" w:eastAsia="仿宋_GB2312" w:cs="MingLiU"/>
      <w:b/>
      <w:sz w:val="24"/>
      <w:szCs w:val="28"/>
    </w:rPr>
  </w:style>
  <w:style w:type="character" w:customStyle="1" w:styleId="241">
    <w:name w:val="Char Char11"/>
    <w:qFormat/>
    <w:uiPriority w:val="0"/>
    <w:rPr>
      <w:rFonts w:eastAsia="黑体"/>
      <w:kern w:val="2"/>
      <w:sz w:val="44"/>
      <w:szCs w:val="44"/>
      <w:lang w:val="en-US" w:eastAsia="zh-CN" w:bidi="ar-SA"/>
    </w:rPr>
  </w:style>
  <w:style w:type="character" w:customStyle="1" w:styleId="242">
    <w:name w:val="style31"/>
    <w:qFormat/>
    <w:uiPriority w:val="0"/>
    <w:rPr>
      <w:sz w:val="10"/>
      <w:szCs w:val="10"/>
    </w:rPr>
  </w:style>
  <w:style w:type="character" w:customStyle="1" w:styleId="243">
    <w:name w:val="0d1471"/>
    <w:qFormat/>
    <w:uiPriority w:val="0"/>
    <w:rPr>
      <w:color w:val="000000"/>
      <w:sz w:val="11"/>
      <w:szCs w:val="11"/>
      <w:u w:val="none"/>
    </w:rPr>
  </w:style>
  <w:style w:type="character" w:customStyle="1" w:styleId="244">
    <w:name w:val="标题 9 Char"/>
    <w:qFormat/>
    <w:uiPriority w:val="0"/>
    <w:rPr>
      <w:rFonts w:ascii="Arial" w:hAnsi="Arial" w:eastAsia="黑体" w:cs="Times New Roman"/>
      <w:szCs w:val="21"/>
    </w:rPr>
  </w:style>
  <w:style w:type="character" w:customStyle="1" w:styleId="245">
    <w:name w:val="标题 3 Char1"/>
    <w:qFormat/>
    <w:uiPriority w:val="0"/>
    <w:rPr>
      <w:rFonts w:ascii="Times New Roman" w:hAnsi="Times New Roman" w:eastAsia="宋体" w:cs="Times New Roman"/>
      <w:b/>
      <w:bCs/>
      <w:kern w:val="2"/>
      <w:sz w:val="32"/>
      <w:szCs w:val="32"/>
    </w:rPr>
  </w:style>
  <w:style w:type="character" w:customStyle="1" w:styleId="246">
    <w:name w:val="标题4 Char Char"/>
    <w:link w:val="90"/>
    <w:qFormat/>
    <w:uiPriority w:val="0"/>
    <w:rPr>
      <w:rFonts w:ascii="Arial" w:hAnsi="Arial"/>
      <w:b/>
      <w:bCs/>
      <w:sz w:val="24"/>
      <w:szCs w:val="32"/>
      <w:lang w:bidi="ar-SA"/>
    </w:rPr>
  </w:style>
  <w:style w:type="character" w:customStyle="1" w:styleId="247">
    <w:name w:val="标题 5 Char1"/>
    <w:qFormat/>
    <w:uiPriority w:val="0"/>
    <w:rPr>
      <w:rFonts w:ascii="宋体" w:hAnsi="宋体" w:eastAsia="宋体" w:cs="宋体"/>
      <w:b/>
      <w:bCs/>
      <w:sz w:val="20"/>
      <w:szCs w:val="20"/>
    </w:rPr>
  </w:style>
  <w:style w:type="character" w:customStyle="1" w:styleId="248">
    <w:name w:val="正文文本缩进 3 Char1"/>
    <w:qFormat/>
    <w:uiPriority w:val="0"/>
    <w:rPr>
      <w:rFonts w:ascii="宋体" w:hAnsi="宋体"/>
      <w:kern w:val="2"/>
      <w:sz w:val="28"/>
      <w:szCs w:val="28"/>
    </w:rPr>
  </w:style>
  <w:style w:type="character" w:customStyle="1" w:styleId="249">
    <w:name w:val="Char Char33"/>
    <w:qFormat/>
    <w:uiPriority w:val="0"/>
    <w:rPr>
      <w:rFonts w:ascii="仿宋_GB2312" w:eastAsia="仿宋_GB2312" w:cs="MingLiU"/>
      <w:b/>
      <w:sz w:val="24"/>
      <w:szCs w:val="28"/>
    </w:rPr>
  </w:style>
  <w:style w:type="character" w:customStyle="1" w:styleId="250">
    <w:name w:val="批注文字 Char1"/>
    <w:qFormat/>
    <w:uiPriority w:val="99"/>
    <w:rPr>
      <w:rFonts w:ascii="Times New Roman" w:hAnsi="Times New Roman" w:eastAsia="宋体" w:cs="Times New Roman"/>
      <w:szCs w:val="24"/>
    </w:rPr>
  </w:style>
  <w:style w:type="character" w:customStyle="1" w:styleId="251">
    <w:name w:val="正文文本 3 Char1"/>
    <w:qFormat/>
    <w:uiPriority w:val="0"/>
    <w:rPr>
      <w:kern w:val="2"/>
      <w:sz w:val="16"/>
      <w:szCs w:val="16"/>
    </w:rPr>
  </w:style>
  <w:style w:type="character" w:customStyle="1" w:styleId="252">
    <w:name w:val="页眉 Char"/>
    <w:qFormat/>
    <w:uiPriority w:val="0"/>
    <w:rPr>
      <w:sz w:val="18"/>
      <w:szCs w:val="18"/>
    </w:rPr>
  </w:style>
  <w:style w:type="character" w:customStyle="1" w:styleId="253">
    <w:name w:val="明显引用 Char"/>
    <w:qFormat/>
    <w:uiPriority w:val="0"/>
    <w:rPr>
      <w:rFonts w:ascii="Times New Roman" w:hAnsi="Times New Roman" w:eastAsia="宋体" w:cs="Times New Roman"/>
      <w:b/>
      <w:bCs/>
      <w:i/>
      <w:iCs/>
      <w:color w:val="4F81BD"/>
      <w:kern w:val="2"/>
      <w:sz w:val="21"/>
      <w:szCs w:val="24"/>
    </w:rPr>
  </w:style>
  <w:style w:type="character" w:customStyle="1" w:styleId="254">
    <w:name w:val="color_red1"/>
    <w:qFormat/>
    <w:uiPriority w:val="0"/>
    <w:rPr>
      <w:color w:val="FA0004"/>
    </w:rPr>
  </w:style>
  <w:style w:type="character" w:customStyle="1" w:styleId="255">
    <w:name w:val="批注主题 Char2"/>
    <w:qFormat/>
    <w:uiPriority w:val="99"/>
    <w:rPr>
      <w:b/>
      <w:bCs/>
      <w:kern w:val="2"/>
      <w:sz w:val="21"/>
      <w:szCs w:val="24"/>
    </w:rPr>
  </w:style>
  <w:style w:type="character" w:customStyle="1" w:styleId="256">
    <w:name w:val="Char Char34"/>
    <w:qFormat/>
    <w:uiPriority w:val="0"/>
    <w:rPr>
      <w:rFonts w:ascii="仿宋_GB2312" w:eastAsia="仿宋_GB2312" w:cs="MingLiU"/>
      <w:b/>
      <w:spacing w:val="1"/>
      <w:w w:val="99"/>
      <w:sz w:val="28"/>
      <w:szCs w:val="32"/>
    </w:rPr>
  </w:style>
  <w:style w:type="character" w:customStyle="1" w:styleId="257">
    <w:name w:val="标题 1 Char"/>
    <w:qFormat/>
    <w:uiPriority w:val="0"/>
    <w:rPr>
      <w:rFonts w:ascii="Times New Roman" w:hAnsi="Times New Roman" w:eastAsia="宋体" w:cs="Times New Roman"/>
      <w:b/>
      <w:bCs/>
      <w:kern w:val="44"/>
      <w:sz w:val="44"/>
      <w:szCs w:val="44"/>
    </w:rPr>
  </w:style>
  <w:style w:type="character" w:customStyle="1" w:styleId="258">
    <w:name w:val="docpro"/>
    <w:basedOn w:val="50"/>
    <w:qFormat/>
    <w:uiPriority w:val="0"/>
  </w:style>
  <w:style w:type="character" w:customStyle="1" w:styleId="259">
    <w:name w:val="正文文本 3 Char"/>
    <w:qFormat/>
    <w:uiPriority w:val="0"/>
    <w:rPr>
      <w:kern w:val="2"/>
      <w:sz w:val="16"/>
      <w:szCs w:val="16"/>
    </w:rPr>
  </w:style>
  <w:style w:type="character" w:customStyle="1" w:styleId="260">
    <w:name w:val="标题 5 Char"/>
    <w:qFormat/>
    <w:uiPriority w:val="0"/>
    <w:rPr>
      <w:rFonts w:ascii="Calibri" w:hAnsi="Calibri" w:eastAsia="宋体" w:cs="Times New Roman"/>
      <w:b/>
      <w:bCs/>
      <w:sz w:val="28"/>
      <w:szCs w:val="28"/>
    </w:rPr>
  </w:style>
  <w:style w:type="character" w:customStyle="1" w:styleId="261">
    <w:name w:val="style161"/>
    <w:qFormat/>
    <w:uiPriority w:val="0"/>
    <w:rPr>
      <w:b/>
      <w:bCs/>
      <w:color w:val="333333"/>
    </w:rPr>
  </w:style>
  <w:style w:type="character" w:customStyle="1" w:styleId="262">
    <w:name w:val="文档结构图 Char2"/>
    <w:qFormat/>
    <w:uiPriority w:val="99"/>
    <w:rPr>
      <w:kern w:val="2"/>
      <w:sz w:val="21"/>
      <w:szCs w:val="24"/>
      <w:shd w:val="clear" w:color="auto" w:fill="000080"/>
    </w:rPr>
  </w:style>
  <w:style w:type="character" w:customStyle="1" w:styleId="263">
    <w:name w:val="页脚 Char1"/>
    <w:qFormat/>
    <w:uiPriority w:val="99"/>
    <w:rPr>
      <w:kern w:val="2"/>
      <w:sz w:val="18"/>
      <w:szCs w:val="18"/>
    </w:rPr>
  </w:style>
  <w:style w:type="character" w:customStyle="1" w:styleId="264">
    <w:name w:val="日期 Char2"/>
    <w:qFormat/>
    <w:uiPriority w:val="99"/>
    <w:rPr>
      <w:kern w:val="2"/>
      <w:sz w:val="21"/>
      <w:szCs w:val="24"/>
    </w:rPr>
  </w:style>
  <w:style w:type="character" w:customStyle="1" w:styleId="265">
    <w:name w:val="HTML 预设格式 Char"/>
    <w:qFormat/>
    <w:uiPriority w:val="0"/>
    <w:rPr>
      <w:rFonts w:ascii="宋体" w:hAnsi="宋体" w:eastAsia="宋体" w:cs="宋体"/>
      <w:color w:val="000000"/>
      <w:sz w:val="24"/>
      <w:szCs w:val="24"/>
    </w:rPr>
  </w:style>
  <w:style w:type="character" w:customStyle="1" w:styleId="266">
    <w:name w:val="批注主题 字符"/>
    <w:link w:val="46"/>
    <w:qFormat/>
    <w:uiPriority w:val="0"/>
    <w:rPr>
      <w:rFonts w:eastAsia="宋体"/>
      <w:b/>
      <w:bCs/>
      <w:kern w:val="2"/>
      <w:sz w:val="21"/>
      <w:szCs w:val="24"/>
      <w:lang w:val="en-US" w:eastAsia="zh-CN" w:bidi="ar-SA"/>
    </w:rPr>
  </w:style>
  <w:style w:type="character" w:customStyle="1" w:styleId="267">
    <w:name w:val="正文文本 2 字符"/>
    <w:link w:val="41"/>
    <w:qFormat/>
    <w:uiPriority w:val="0"/>
    <w:rPr>
      <w:i/>
      <w:iCs/>
      <w:kern w:val="2"/>
      <w:sz w:val="26"/>
      <w:szCs w:val="24"/>
    </w:rPr>
  </w:style>
  <w:style w:type="character" w:customStyle="1" w:styleId="268">
    <w:name w:val="批注框文本 Char"/>
    <w:qFormat/>
    <w:uiPriority w:val="0"/>
    <w:rPr>
      <w:sz w:val="18"/>
      <w:szCs w:val="18"/>
    </w:rPr>
  </w:style>
  <w:style w:type="character" w:customStyle="1" w:styleId="269">
    <w:name w:val="文档结构图 Char"/>
    <w:qFormat/>
    <w:uiPriority w:val="0"/>
    <w:rPr>
      <w:rFonts w:ascii="宋体"/>
      <w:kern w:val="2"/>
      <w:sz w:val="18"/>
      <w:szCs w:val="18"/>
    </w:rPr>
  </w:style>
  <w:style w:type="character" w:customStyle="1" w:styleId="270">
    <w:name w:val="标题 8 字符"/>
    <w:link w:val="12"/>
    <w:qFormat/>
    <w:uiPriority w:val="0"/>
    <w:rPr>
      <w:rFonts w:hAnsi="Arial" w:eastAsia="仿宋_GB2312"/>
      <w:sz w:val="30"/>
      <w:lang w:val="en-US" w:eastAsia="zh-CN" w:bidi="ar-SA"/>
    </w:rPr>
  </w:style>
  <w:style w:type="character" w:customStyle="1" w:styleId="271">
    <w:name w:val="正文文本缩进 3 字符"/>
    <w:link w:val="38"/>
    <w:qFormat/>
    <w:uiPriority w:val="0"/>
    <w:rPr>
      <w:rFonts w:ascii="宋体" w:hAnsi="宋体" w:eastAsia="宋体"/>
      <w:kern w:val="2"/>
      <w:sz w:val="28"/>
      <w:szCs w:val="28"/>
      <w:lang w:val="en-US" w:eastAsia="zh-CN" w:bidi="ar-SA"/>
    </w:rPr>
  </w:style>
  <w:style w:type="character" w:customStyle="1" w:styleId="272">
    <w:name w:val="正文文本缩进 字符"/>
    <w:link w:val="3"/>
    <w:qFormat/>
    <w:uiPriority w:val="0"/>
    <w:rPr>
      <w:rFonts w:eastAsia="宋体"/>
      <w:kern w:val="2"/>
      <w:sz w:val="21"/>
      <w:szCs w:val="24"/>
      <w:lang w:val="en-US" w:eastAsia="zh-CN" w:bidi="ar-SA"/>
    </w:rPr>
  </w:style>
  <w:style w:type="character" w:customStyle="1" w:styleId="273">
    <w:name w:val="_Style 196"/>
    <w:qFormat/>
    <w:uiPriority w:val="0"/>
    <w:rPr>
      <w:i/>
      <w:iCs/>
      <w:color w:val="808080"/>
    </w:rPr>
  </w:style>
  <w:style w:type="character" w:customStyle="1" w:styleId="274">
    <w:name w:val="正文文本缩进 2 字符"/>
    <w:link w:val="28"/>
    <w:qFormat/>
    <w:uiPriority w:val="0"/>
    <w:rPr>
      <w:rFonts w:eastAsia="宋体"/>
      <w:sz w:val="28"/>
      <w:szCs w:val="24"/>
      <w:lang w:val="en-US" w:eastAsia="zh-CN" w:bidi="ar-SA"/>
    </w:rPr>
  </w:style>
  <w:style w:type="character" w:customStyle="1" w:styleId="275">
    <w:name w:val="标题 7 字符"/>
    <w:link w:val="11"/>
    <w:qFormat/>
    <w:uiPriority w:val="0"/>
    <w:rPr>
      <w:rFonts w:eastAsia="仿宋_GB2312"/>
      <w:sz w:val="30"/>
      <w:lang w:val="en-US" w:eastAsia="zh-CN" w:bidi="ar-SA"/>
    </w:rPr>
  </w:style>
  <w:style w:type="character" w:customStyle="1" w:styleId="276">
    <w:name w:val="Char Char13"/>
    <w:qFormat/>
    <w:uiPriority w:val="0"/>
    <w:rPr>
      <w:kern w:val="2"/>
      <w:sz w:val="18"/>
      <w:szCs w:val="18"/>
    </w:rPr>
  </w:style>
  <w:style w:type="character" w:customStyle="1" w:styleId="277">
    <w:name w:val="正文文本缩进 2 Char1"/>
    <w:qFormat/>
    <w:uiPriority w:val="0"/>
    <w:rPr>
      <w:sz w:val="28"/>
      <w:szCs w:val="24"/>
    </w:rPr>
  </w:style>
  <w:style w:type="character" w:customStyle="1" w:styleId="278">
    <w:name w:val="Char Char21"/>
    <w:qFormat/>
    <w:uiPriority w:val="0"/>
    <w:rPr>
      <w:rFonts w:ascii="宋体" w:hAnsi="宋体" w:cs="宋体"/>
      <w:b/>
      <w:bCs/>
      <w:sz w:val="24"/>
      <w:szCs w:val="24"/>
    </w:rPr>
  </w:style>
  <w:style w:type="character" w:customStyle="1" w:styleId="279">
    <w:name w:val="文档结构图 Char1"/>
    <w:qFormat/>
    <w:uiPriority w:val="0"/>
    <w:rPr>
      <w:rFonts w:ascii="宋体"/>
      <w:kern w:val="2"/>
      <w:sz w:val="18"/>
      <w:szCs w:val="18"/>
    </w:rPr>
  </w:style>
  <w:style w:type="character" w:customStyle="1" w:styleId="280">
    <w:name w:val="标题 Char"/>
    <w:qFormat/>
    <w:uiPriority w:val="0"/>
    <w:rPr>
      <w:rFonts w:ascii="Cambria" w:hAnsi="Cambria" w:eastAsia="宋体" w:cs="Times New Roman"/>
      <w:b/>
      <w:bCs/>
      <w:kern w:val="2"/>
      <w:sz w:val="32"/>
      <w:szCs w:val="32"/>
    </w:rPr>
  </w:style>
  <w:style w:type="character" w:customStyle="1" w:styleId="281">
    <w:name w:val="_Style 275"/>
    <w:qFormat/>
    <w:uiPriority w:val="0"/>
    <w:rPr>
      <w:smallCaps/>
      <w:color w:val="C0504D"/>
      <w:u w:val="single"/>
    </w:rPr>
  </w:style>
  <w:style w:type="character" w:customStyle="1" w:styleId="282">
    <w:name w:val="Char Char12"/>
    <w:qFormat/>
    <w:uiPriority w:val="0"/>
    <w:rPr>
      <w:rFonts w:eastAsia="黑体"/>
      <w:kern w:val="2"/>
      <w:sz w:val="44"/>
      <w:szCs w:val="44"/>
      <w:lang w:val="en-US" w:eastAsia="zh-CN" w:bidi="ar-SA"/>
    </w:rPr>
  </w:style>
  <w:style w:type="character" w:customStyle="1" w:styleId="283">
    <w:name w:val="明显参考1"/>
    <w:qFormat/>
    <w:uiPriority w:val="0"/>
    <w:rPr>
      <w:b/>
      <w:bCs/>
      <w:smallCaps/>
      <w:color w:val="C0504D"/>
      <w:spacing w:val="5"/>
      <w:u w:val="single"/>
    </w:rPr>
  </w:style>
  <w:style w:type="character" w:customStyle="1" w:styleId="284">
    <w:name w:val="Char Char36"/>
    <w:qFormat/>
    <w:uiPriority w:val="0"/>
    <w:rPr>
      <w:rFonts w:ascii="仿宋_GB2312" w:eastAsia="仿宋_GB2312" w:cs="MingLiU"/>
      <w:b/>
      <w:sz w:val="24"/>
      <w:szCs w:val="28"/>
    </w:rPr>
  </w:style>
  <w:style w:type="character" w:customStyle="1" w:styleId="285">
    <w:name w:val="批注框文本 Char2"/>
    <w:qFormat/>
    <w:uiPriority w:val="99"/>
    <w:rPr>
      <w:kern w:val="2"/>
      <w:sz w:val="18"/>
      <w:szCs w:val="18"/>
    </w:rPr>
  </w:style>
  <w:style w:type="character" w:customStyle="1" w:styleId="286">
    <w:name w:val="subhead1"/>
    <w:qFormat/>
    <w:uiPriority w:val="0"/>
    <w:rPr>
      <w:rFonts w:hint="default" w:ascii="Tahoma" w:hAnsi="Tahoma" w:cs="Tahoma"/>
      <w:color w:val="000000"/>
      <w:sz w:val="18"/>
      <w:szCs w:val="18"/>
      <w:u w:val="none"/>
      <w:shd w:val="clear" w:color="auto" w:fill="FFFFFF"/>
    </w:rPr>
  </w:style>
  <w:style w:type="character" w:customStyle="1" w:styleId="287">
    <w:name w:val="正文文本缩进 3 Char2"/>
    <w:qFormat/>
    <w:uiPriority w:val="99"/>
    <w:rPr>
      <w:rFonts w:ascii="Calibri" w:hAnsi="Calibri" w:eastAsia="宋体" w:cs="Times New Roman"/>
      <w:sz w:val="16"/>
      <w:szCs w:val="16"/>
    </w:rPr>
  </w:style>
  <w:style w:type="character" w:customStyle="1" w:styleId="288">
    <w:name w:val="纯文本 Char"/>
    <w:qFormat/>
    <w:uiPriority w:val="0"/>
    <w:rPr>
      <w:rFonts w:ascii="宋体" w:hAnsi="Courier New"/>
      <w:sz w:val="28"/>
      <w:szCs w:val="28"/>
    </w:rPr>
  </w:style>
  <w:style w:type="character" w:customStyle="1" w:styleId="289">
    <w:name w:val="纯文本 Char2"/>
    <w:qFormat/>
    <w:uiPriority w:val="99"/>
    <w:rPr>
      <w:rFonts w:ascii="宋体" w:hAnsi="Courier New" w:eastAsia="宋体" w:cs="Courier New"/>
      <w:szCs w:val="21"/>
    </w:rPr>
  </w:style>
  <w:style w:type="character" w:customStyle="1" w:styleId="290">
    <w:name w:val="页眉 Char1"/>
    <w:qFormat/>
    <w:uiPriority w:val="99"/>
    <w:rPr>
      <w:kern w:val="2"/>
      <w:sz w:val="18"/>
      <w:szCs w:val="18"/>
    </w:rPr>
  </w:style>
  <w:style w:type="character" w:customStyle="1" w:styleId="291">
    <w:name w:val="Char Char14"/>
    <w:qFormat/>
    <w:uiPriority w:val="0"/>
    <w:rPr>
      <w:kern w:val="2"/>
      <w:sz w:val="18"/>
      <w:szCs w:val="18"/>
    </w:rPr>
  </w:style>
  <w:style w:type="character" w:customStyle="1" w:styleId="292">
    <w:name w:val="批注文字 字符"/>
    <w:link w:val="18"/>
    <w:qFormat/>
    <w:uiPriority w:val="99"/>
    <w:rPr>
      <w:rFonts w:eastAsia="宋体"/>
      <w:kern w:val="2"/>
      <w:sz w:val="21"/>
      <w:szCs w:val="24"/>
      <w:lang w:val="en-US" w:eastAsia="zh-CN" w:bidi="ar-SA"/>
    </w:rPr>
  </w:style>
  <w:style w:type="character" w:customStyle="1" w:styleId="293">
    <w:name w:val="批注文字 Char Char"/>
    <w:qFormat/>
    <w:uiPriority w:val="0"/>
    <w:rPr>
      <w:rFonts w:ascii="宋体" w:hAnsi="Times New Roman" w:eastAsia="宋体" w:cs="Times New Roman"/>
      <w:sz w:val="28"/>
      <w:szCs w:val="20"/>
    </w:rPr>
  </w:style>
  <w:style w:type="character" w:customStyle="1" w:styleId="294">
    <w:name w:val="标题 1 Char1"/>
    <w:qFormat/>
    <w:uiPriority w:val="0"/>
    <w:rPr>
      <w:rFonts w:ascii="Times New Roman" w:hAnsi="Times New Roman" w:eastAsia="宋体" w:cs="Times New Roman"/>
      <w:b/>
      <w:bCs/>
      <w:kern w:val="44"/>
      <w:sz w:val="44"/>
      <w:szCs w:val="44"/>
    </w:rPr>
  </w:style>
  <w:style w:type="character" w:customStyle="1" w:styleId="295">
    <w:name w:val="标题 5 字符"/>
    <w:link w:val="8"/>
    <w:qFormat/>
    <w:uiPriority w:val="0"/>
    <w:rPr>
      <w:rFonts w:ascii="宋体" w:hAnsi="宋体" w:eastAsia="宋体" w:cs="宋体"/>
      <w:b/>
      <w:bCs/>
      <w:lang w:val="en-US" w:eastAsia="zh-CN" w:bidi="ar-SA"/>
    </w:rPr>
  </w:style>
  <w:style w:type="character" w:customStyle="1" w:styleId="296">
    <w:name w:val="手改 Char Char"/>
    <w:qFormat/>
    <w:uiPriority w:val="0"/>
    <w:rPr>
      <w:kern w:val="2"/>
      <w:sz w:val="21"/>
      <w:szCs w:val="24"/>
    </w:rPr>
  </w:style>
  <w:style w:type="character" w:customStyle="1" w:styleId="297">
    <w:name w:val="标题 1 字符"/>
    <w:link w:val="4"/>
    <w:qFormat/>
    <w:uiPriority w:val="0"/>
    <w:rPr>
      <w:rFonts w:eastAsia="宋体"/>
      <w:b/>
      <w:bCs/>
      <w:kern w:val="44"/>
      <w:sz w:val="44"/>
      <w:szCs w:val="44"/>
      <w:lang w:val="en-US" w:eastAsia="zh-CN" w:bidi="ar-SA"/>
    </w:rPr>
  </w:style>
  <w:style w:type="character" w:customStyle="1" w:styleId="298">
    <w:name w:val="intel3"/>
    <w:basedOn w:val="50"/>
    <w:qFormat/>
    <w:uiPriority w:val="0"/>
  </w:style>
  <w:style w:type="character" w:customStyle="1" w:styleId="299">
    <w:name w:val="副标题 Char2"/>
    <w:qFormat/>
    <w:uiPriority w:val="11"/>
    <w:rPr>
      <w:rFonts w:ascii="Cambria" w:hAnsi="Cambria" w:eastAsia="宋体" w:cs="Times New Roman"/>
      <w:b/>
      <w:bCs/>
      <w:kern w:val="28"/>
      <w:sz w:val="32"/>
      <w:szCs w:val="32"/>
    </w:rPr>
  </w:style>
  <w:style w:type="character" w:customStyle="1" w:styleId="300">
    <w:name w:val="明显引用 Char4"/>
    <w:link w:val="121"/>
    <w:qFormat/>
    <w:uiPriority w:val="0"/>
    <w:rPr>
      <w:b/>
      <w:bCs/>
      <w:i/>
      <w:iCs/>
      <w:color w:val="4F81BD"/>
      <w:kern w:val="2"/>
      <w:sz w:val="21"/>
      <w:szCs w:val="22"/>
      <w:lang w:bidi="ar-SA"/>
    </w:rPr>
  </w:style>
  <w:style w:type="character" w:customStyle="1" w:styleId="301">
    <w:name w:val="明显引用 Char1"/>
    <w:link w:val="114"/>
    <w:qFormat/>
    <w:uiPriority w:val="30"/>
    <w:rPr>
      <w:b/>
      <w:bCs/>
      <w:i/>
      <w:iCs/>
      <w:color w:val="4F81BD"/>
      <w:kern w:val="2"/>
      <w:sz w:val="21"/>
    </w:rPr>
  </w:style>
  <w:style w:type="character" w:customStyle="1" w:styleId="302">
    <w:name w:val="HTML 预设格式 Char1"/>
    <w:qFormat/>
    <w:uiPriority w:val="0"/>
    <w:rPr>
      <w:rFonts w:ascii="宋体" w:hAnsi="宋体" w:cs="宋体"/>
      <w:color w:val="000000"/>
      <w:sz w:val="24"/>
      <w:szCs w:val="24"/>
    </w:rPr>
  </w:style>
  <w:style w:type="character" w:customStyle="1" w:styleId="303">
    <w:name w:val="引用 Char"/>
    <w:link w:val="72"/>
    <w:qFormat/>
    <w:uiPriority w:val="0"/>
    <w:rPr>
      <w:rFonts w:ascii="Times New Roman" w:hAnsi="Times New Roman" w:eastAsia="宋体" w:cs="Times New Roman"/>
      <w:i/>
      <w:iCs/>
      <w:color w:val="000000"/>
      <w:kern w:val="2"/>
      <w:sz w:val="21"/>
      <w:szCs w:val="24"/>
    </w:rPr>
  </w:style>
  <w:style w:type="character" w:customStyle="1" w:styleId="304">
    <w:name w:val="副标题 字符"/>
    <w:link w:val="35"/>
    <w:qFormat/>
    <w:uiPriority w:val="0"/>
    <w:rPr>
      <w:rFonts w:eastAsia="宋体"/>
      <w:szCs w:val="24"/>
      <w:u w:val="single"/>
      <w:lang w:val="en-US" w:eastAsia="en-US" w:bidi="ar-SA"/>
    </w:rPr>
  </w:style>
  <w:style w:type="character" w:customStyle="1" w:styleId="305">
    <w:name w:val="ITTHEADER1 Char"/>
    <w:qFormat/>
    <w:uiPriority w:val="0"/>
    <w:rPr>
      <w:rFonts w:eastAsia="黑体"/>
      <w:kern w:val="2"/>
      <w:sz w:val="44"/>
      <w:szCs w:val="44"/>
      <w:lang w:val="en-US" w:eastAsia="zh-CN" w:bidi="ar-SA"/>
    </w:rPr>
  </w:style>
  <w:style w:type="character" w:customStyle="1" w:styleId="306">
    <w:name w:val="日期 Char3"/>
    <w:qFormat/>
    <w:uiPriority w:val="99"/>
    <w:rPr>
      <w:rFonts w:ascii="Calibri" w:hAnsi="Calibri" w:eastAsia="宋体" w:cs="Times New Roman"/>
      <w:szCs w:val="24"/>
    </w:rPr>
  </w:style>
  <w:style w:type="character" w:customStyle="1" w:styleId="307">
    <w:name w:val="纯文本 字符"/>
    <w:link w:val="25"/>
    <w:qFormat/>
    <w:uiPriority w:val="0"/>
    <w:rPr>
      <w:rFonts w:ascii="宋体" w:hAnsi="Courier New" w:eastAsia="宋体" w:cs="Courier New"/>
      <w:kern w:val="2"/>
      <w:sz w:val="21"/>
      <w:szCs w:val="21"/>
      <w:lang w:val="en-US" w:eastAsia="zh-CN" w:bidi="ar-SA"/>
    </w:rPr>
  </w:style>
  <w:style w:type="character" w:customStyle="1" w:styleId="308">
    <w:name w:val="批注文字 Char"/>
    <w:qFormat/>
    <w:uiPriority w:val="0"/>
    <w:rPr>
      <w:rFonts w:ascii="Times New Roman" w:hAnsi="Times New Roman" w:eastAsia="宋体" w:cs="Times New Roman"/>
      <w:kern w:val="2"/>
      <w:sz w:val="21"/>
      <w:szCs w:val="24"/>
    </w:rPr>
  </w:style>
  <w:style w:type="character" w:customStyle="1" w:styleId="309">
    <w:name w:val="Section Char"/>
    <w:qFormat/>
    <w:uiPriority w:val="0"/>
    <w:rPr>
      <w:rFonts w:ascii="仿宋_GB2312" w:eastAsia="仿宋_GB2312" w:cs="MingLiU"/>
      <w:b/>
      <w:sz w:val="24"/>
      <w:szCs w:val="28"/>
      <w:lang w:val="en-US" w:eastAsia="zh-CN" w:bidi="ar-SA"/>
    </w:rPr>
  </w:style>
  <w:style w:type="character" w:customStyle="1" w:styleId="310">
    <w:name w:val="正文文本 3 Char2"/>
    <w:qFormat/>
    <w:uiPriority w:val="99"/>
    <w:rPr>
      <w:rFonts w:ascii="Calibri" w:hAnsi="Calibri" w:eastAsia="宋体" w:cs="Times New Roman"/>
      <w:sz w:val="16"/>
      <w:szCs w:val="16"/>
    </w:rPr>
  </w:style>
  <w:style w:type="character" w:customStyle="1" w:styleId="311">
    <w:name w:val="正文文本 3 字符"/>
    <w:link w:val="19"/>
    <w:qFormat/>
    <w:uiPriority w:val="0"/>
    <w:rPr>
      <w:rFonts w:eastAsia="宋体"/>
      <w:kern w:val="2"/>
      <w:sz w:val="16"/>
      <w:szCs w:val="16"/>
      <w:lang w:val="en-US" w:eastAsia="zh-CN" w:bidi="ar-SA"/>
    </w:rPr>
  </w:style>
  <w:style w:type="character" w:customStyle="1" w:styleId="312">
    <w:name w:val="普通文字 Char Char1"/>
    <w:qFormat/>
    <w:uiPriority w:val="0"/>
    <w:rPr>
      <w:rFonts w:ascii="宋体" w:hAnsi="Courier New"/>
      <w:kern w:val="2"/>
      <w:sz w:val="28"/>
      <w:szCs w:val="28"/>
    </w:rPr>
  </w:style>
  <w:style w:type="character" w:customStyle="1" w:styleId="313">
    <w:name w:val="正文文本缩进 Char"/>
    <w:qFormat/>
    <w:uiPriority w:val="0"/>
    <w:rPr>
      <w:rFonts w:ascii="黑体" w:hAnsi="宋体" w:eastAsia="黑体"/>
      <w:color w:val="000000"/>
      <w:sz w:val="28"/>
      <w:szCs w:val="32"/>
    </w:rPr>
  </w:style>
  <w:style w:type="character" w:customStyle="1" w:styleId="314">
    <w:name w:val="font161"/>
    <w:qFormat/>
    <w:uiPriority w:val="0"/>
    <w:rPr>
      <w:b/>
      <w:bCs/>
      <w:sz w:val="32"/>
      <w:szCs w:val="32"/>
    </w:rPr>
  </w:style>
  <w:style w:type="paragraph" w:customStyle="1" w:styleId="315">
    <w:name w:val="List Paragraph_2053445d-0ea7-4fc6-805c-24e9551bff14"/>
    <w:basedOn w:val="1"/>
    <w:qFormat/>
    <w:uiPriority w:val="99"/>
    <w:pPr>
      <w:ind w:firstLine="420" w:firstLineChars="200"/>
    </w:pPr>
    <w:rPr>
      <w:sz w:val="28"/>
      <w:szCs w:val="28"/>
    </w:rPr>
  </w:style>
  <w:style w:type="paragraph" w:customStyle="1" w:styleId="316">
    <w:name w:val="Revision_be56d849-df43-460f-89c6-231392157f72"/>
    <w:qFormat/>
    <w:uiPriority w:val="99"/>
    <w:rPr>
      <w:rFonts w:ascii="Times New Roman" w:hAnsi="Times New Roman" w:eastAsia="宋体" w:cs="Times New Roman"/>
      <w:kern w:val="2"/>
      <w:sz w:val="21"/>
      <w:szCs w:val="24"/>
      <w:lang w:val="en-US" w:eastAsia="zh-CN" w:bidi="ar-SA"/>
    </w:rPr>
  </w:style>
  <w:style w:type="table" w:customStyle="1" w:styleId="317">
    <w:name w:val="Table Normal"/>
    <w:semiHidden/>
    <w:unhideWhenUsed/>
    <w:qFormat/>
    <w:uiPriority w:val="0"/>
    <w:tblPr>
      <w:tblCellMar>
        <w:top w:w="0" w:type="dxa"/>
        <w:left w:w="0" w:type="dxa"/>
        <w:bottom w:w="0" w:type="dxa"/>
        <w:right w:w="0" w:type="dxa"/>
      </w:tblCellMar>
    </w:tblPr>
  </w:style>
  <w:style w:type="paragraph" w:customStyle="1" w:styleId="318">
    <w:name w:val="p3"/>
    <w:basedOn w:val="1"/>
    <w:qFormat/>
    <w:uiPriority w:val="0"/>
    <w:pPr>
      <w:spacing w:before="0" w:beforeAutospacing="0" w:after="0" w:afterAutospacing="0"/>
      <w:ind w:left="0" w:right="0"/>
      <w:jc w:val="both"/>
    </w:pPr>
    <w:rPr>
      <w:rFonts w:ascii="pingfang sc" w:hAnsi="pingfang sc" w:eastAsia="pingfang sc" w:cs="pingfang sc"/>
      <w:kern w:val="0"/>
      <w:sz w:val="26"/>
      <w:szCs w:val="26"/>
      <w:lang w:val="en-US" w:eastAsia="zh-CN" w:bidi="ar"/>
    </w:rPr>
  </w:style>
  <w:style w:type="paragraph" w:styleId="3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2601</Words>
  <Characters>2998</Characters>
  <Paragraphs>4432</Paragraphs>
  <TotalTime>9</TotalTime>
  <ScaleCrop>false</ScaleCrop>
  <LinksUpToDate>false</LinksUpToDate>
  <CharactersWithSpaces>3217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深海寻人</cp:lastModifiedBy>
  <cp:lastPrinted>2023-02-19T06:02:00Z</cp:lastPrinted>
  <dcterms:modified xsi:type="dcterms:W3CDTF">2025-03-04T10:10:28Z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056C06DF8835403791ED4EC9F5F7169B_13</vt:lpwstr>
  </property>
  <property fmtid="{D5CDD505-2E9C-101B-9397-08002B2CF9AE}" pid="4" name="KSOTemplateDocerSaveRecord">
    <vt:lpwstr>eyJoZGlkIjoiNDFhMjY0Y2RkNWExOGEzYTYwYjdhY2FkODY4NWZlZTciLCJ1c2VySWQiOiIzNjUxNTg0MTEifQ==</vt:lpwstr>
  </property>
</Properties>
</file>